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b/>
          <w:bCs/>
          <w:sz w:val="20"/>
          <w:szCs w:val="20"/>
        </w:rPr>
        <w:t>Policy: Post-Liver Transplant Concomitant Medications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b/>
          <w:bCs/>
          <w:sz w:val="20"/>
          <w:szCs w:val="20"/>
        </w:rPr>
        <w:t>Statement: 1. Activation</w:t>
      </w:r>
      <w:r w:rsidRPr="00DD06F3">
        <w:rPr>
          <w:rFonts w:ascii="Times New Roman" w:hAnsi="Times New Roman"/>
          <w:sz w:val="20"/>
          <w:szCs w:val="20"/>
        </w:rPr>
        <w:t xml:space="preserve"> </w:t>
      </w:r>
      <w:r w:rsidRPr="00DD06F3">
        <w:rPr>
          <w:rFonts w:ascii="Times New Roman" w:hAnsi="Times New Roman"/>
          <w:b/>
          <w:bCs/>
          <w:sz w:val="20"/>
          <w:szCs w:val="20"/>
        </w:rPr>
        <w:t>date</w:t>
      </w:r>
      <w:r w:rsidRPr="00DD06F3">
        <w:rPr>
          <w:rFonts w:ascii="Times New Roman" w:hAnsi="Times New Roman"/>
          <w:sz w:val="20"/>
          <w:szCs w:val="20"/>
        </w:rPr>
        <w:t xml:space="preserve">: 12/11/08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b/>
          <w:bCs/>
          <w:sz w:val="20"/>
          <w:szCs w:val="20"/>
        </w:rPr>
        <w:t>2. Affected Department</w:t>
      </w:r>
      <w:r w:rsidRPr="00DD06F3">
        <w:rPr>
          <w:rFonts w:ascii="Times New Roman" w:hAnsi="Times New Roman"/>
          <w:sz w:val="20"/>
          <w:szCs w:val="20"/>
        </w:rPr>
        <w:t>: Liver transplant program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b/>
          <w:bCs/>
          <w:sz w:val="20"/>
          <w:szCs w:val="20"/>
        </w:rPr>
        <w:t>3. Vision strategy</w:t>
      </w:r>
      <w:r w:rsidRPr="00DD06F3">
        <w:rPr>
          <w:rFonts w:ascii="Times New Roman" w:hAnsi="Times New Roman"/>
          <w:sz w:val="20"/>
          <w:szCs w:val="20"/>
        </w:rPr>
        <w:t>: Patient care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b/>
          <w:bCs/>
          <w:sz w:val="20"/>
          <w:szCs w:val="20"/>
        </w:rPr>
        <w:t>4. Policy Statement</w:t>
      </w:r>
      <w:r w:rsidRPr="00DD06F3">
        <w:rPr>
          <w:rFonts w:ascii="Times New Roman" w:hAnsi="Times New Roman"/>
          <w:sz w:val="20"/>
          <w:szCs w:val="20"/>
        </w:rPr>
        <w:t>: The Emory Transplant Center will comply with all applicable federal, state and local laws, regulations and policies regarding the management of prescribing medications and refills.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b/>
          <w:bCs/>
          <w:sz w:val="20"/>
          <w:szCs w:val="20"/>
        </w:rPr>
        <w:t>5. Basis</w:t>
      </w:r>
      <w:r w:rsidRPr="00DD06F3">
        <w:rPr>
          <w:rFonts w:ascii="Times New Roman" w:hAnsi="Times New Roman"/>
          <w:sz w:val="20"/>
          <w:szCs w:val="20"/>
        </w:rPr>
        <w:t>: This policy is necessary for the protection of patients, physicians and staff.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b/>
          <w:bCs/>
          <w:sz w:val="20"/>
          <w:szCs w:val="20"/>
        </w:rPr>
        <w:t>6. Administrative Responsibility</w:t>
      </w:r>
      <w:r w:rsidRPr="00DD06F3">
        <w:rPr>
          <w:rFonts w:ascii="Times New Roman" w:hAnsi="Times New Roman"/>
          <w:sz w:val="20"/>
          <w:szCs w:val="20"/>
        </w:rPr>
        <w:t xml:space="preserve">: Section heads, physicians, practitioners, and staff are responsible for compliance with this policy. </w:t>
      </w:r>
      <w:bookmarkStart w:id="0" w:name="_GoBack"/>
      <w:bookmarkEnd w:id="0"/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b/>
          <w:bCs/>
          <w:sz w:val="20"/>
          <w:szCs w:val="20"/>
        </w:rPr>
        <w:t>Scope/Procedure: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b/>
          <w:bCs/>
          <w:sz w:val="20"/>
          <w:szCs w:val="20"/>
        </w:rPr>
        <w:t>Protocol</w:t>
      </w:r>
      <w:r w:rsidRPr="00DD06F3">
        <w:rPr>
          <w:rFonts w:ascii="Times New Roman" w:hAnsi="Times New Roman"/>
          <w:sz w:val="20"/>
          <w:szCs w:val="20"/>
        </w:rPr>
        <w:t xml:space="preserve">: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6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br/>
        <w:t xml:space="preserve">I. Anti-viral prophylaxis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br/>
        <w:t xml:space="preserve">a. Herpes prophylaxis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t>i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. Post-transplant: Acyclovir 400mg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TID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a. Refer to CMV protocol in liver transplantation for more information.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ii. Consider extended prophylaxis if history of HSV.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II. Antibacterial surgical prophylaxis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a. Ampicillin/</w:t>
      </w:r>
      <w:proofErr w:type="spellStart"/>
      <w:r w:rsidRPr="00DD06F3">
        <w:rPr>
          <w:rFonts w:ascii="Times New Roman" w:hAnsi="Times New Roman"/>
          <w:sz w:val="20"/>
          <w:szCs w:val="20"/>
        </w:rPr>
        <w:t>sulbactam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q6hr x 24 hours starting prior to incision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t>i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. Antibiotics should be </w:t>
      </w:r>
      <w:proofErr w:type="spellStart"/>
      <w:r w:rsidRPr="00DD06F3">
        <w:rPr>
          <w:rFonts w:ascii="Times New Roman" w:hAnsi="Times New Roman"/>
          <w:sz w:val="20"/>
          <w:szCs w:val="20"/>
        </w:rPr>
        <w:t>redosed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for surgery &gt; 4 hours or if large amount of blood products are given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proofErr w:type="gramStart"/>
      <w:r w:rsidRPr="00DD06F3">
        <w:rPr>
          <w:rFonts w:ascii="Times New Roman" w:hAnsi="Times New Roman"/>
          <w:sz w:val="20"/>
          <w:szCs w:val="20"/>
        </w:rPr>
        <w:t>b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. For patients with severe PCN allergy: </w:t>
      </w:r>
      <w:proofErr w:type="spellStart"/>
      <w:r w:rsidRPr="00DD06F3">
        <w:rPr>
          <w:rFonts w:ascii="Times New Roman" w:hAnsi="Times New Roman"/>
          <w:sz w:val="20"/>
          <w:szCs w:val="20"/>
        </w:rPr>
        <w:t>Vancomycin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1.5 grams IV x 1 and levofloxacin 750mg IV x 1. Severe PCN allergy is defined as hives or other rash occurring within 24 hours of starting drug, angioedema, bronchospasm, anaphylaxis or </w:t>
      </w:r>
      <w:proofErr w:type="spellStart"/>
      <w:r w:rsidRPr="00DD06F3">
        <w:rPr>
          <w:rFonts w:ascii="Times New Roman" w:hAnsi="Times New Roman"/>
          <w:sz w:val="20"/>
          <w:szCs w:val="20"/>
        </w:rPr>
        <w:t>exfoliative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dermatitis.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III. Empiric antimicrobial coverage for biliary complications and/or fever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DD06F3">
        <w:rPr>
          <w:rFonts w:ascii="Times New Roman" w:hAnsi="Times New Roman"/>
          <w:sz w:val="20"/>
          <w:szCs w:val="20"/>
        </w:rPr>
        <w:t>Piperacillin</w:t>
      </w:r>
      <w:proofErr w:type="spellEnd"/>
      <w:r w:rsidRPr="00DD06F3">
        <w:rPr>
          <w:rFonts w:ascii="Times New Roman" w:hAnsi="Times New Roman"/>
          <w:sz w:val="20"/>
          <w:szCs w:val="20"/>
        </w:rPr>
        <w:t>/</w:t>
      </w:r>
      <w:proofErr w:type="spellStart"/>
      <w:r w:rsidRPr="00DD06F3">
        <w:rPr>
          <w:rFonts w:ascii="Times New Roman" w:hAnsi="Times New Roman"/>
          <w:sz w:val="20"/>
          <w:szCs w:val="20"/>
        </w:rPr>
        <w:t>tazobactam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4.5 grams IV q8hr</w:t>
      </w:r>
      <w:r w:rsidRPr="00DD06F3">
        <w:rPr>
          <w:rFonts w:ascii="Times New Roman" w:hAnsi="Times New Roman"/>
          <w:sz w:val="20"/>
          <w:szCs w:val="20"/>
        </w:rPr>
        <w:br/>
        <w:t xml:space="preserve">b. </w:t>
      </w:r>
      <w:proofErr w:type="spellStart"/>
      <w:r w:rsidRPr="00DD06F3">
        <w:rPr>
          <w:rFonts w:ascii="Times New Roman" w:hAnsi="Times New Roman"/>
          <w:sz w:val="20"/>
          <w:szCs w:val="20"/>
        </w:rPr>
        <w:t>Vancomycin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1.5 grams IV x 1 , then dosed per PK if MRSA suspected</w:t>
      </w:r>
      <w:r w:rsidRPr="00DD06F3">
        <w:rPr>
          <w:rFonts w:ascii="Times New Roman" w:hAnsi="Times New Roman"/>
          <w:sz w:val="20"/>
          <w:szCs w:val="20"/>
        </w:rPr>
        <w:br/>
        <w:t xml:space="preserve">c. Fluconazole 800mg x 1, then 400mg PO/IV daily if high risk fungal infection. </w:t>
      </w:r>
      <w:proofErr w:type="gramStart"/>
      <w:r w:rsidRPr="00DD06F3">
        <w:rPr>
          <w:rFonts w:ascii="Times New Roman" w:hAnsi="Times New Roman"/>
          <w:sz w:val="20"/>
          <w:szCs w:val="20"/>
        </w:rPr>
        <w:t>Fluconazole to be continued for 3 weeks post-transplant if high risk.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612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t>i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. Definition of high risk for fungal infection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68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br/>
        <w:t>1. Re-operation</w:t>
      </w:r>
      <w:r w:rsidRPr="00DD06F3">
        <w:rPr>
          <w:rFonts w:ascii="Times New Roman" w:hAnsi="Times New Roman"/>
          <w:sz w:val="20"/>
          <w:szCs w:val="20"/>
        </w:rPr>
        <w:br/>
        <w:t xml:space="preserve">2. </w:t>
      </w:r>
      <w:proofErr w:type="gramStart"/>
      <w:r w:rsidRPr="00DD06F3">
        <w:rPr>
          <w:rFonts w:ascii="Times New Roman" w:hAnsi="Times New Roman"/>
          <w:sz w:val="20"/>
          <w:szCs w:val="20"/>
        </w:rPr>
        <w:t xml:space="preserve">Transfusion requirements &gt; 20 units </w:t>
      </w:r>
      <w:r w:rsidRPr="00DD06F3">
        <w:rPr>
          <w:rFonts w:ascii="Times New Roman" w:hAnsi="Times New Roman"/>
          <w:sz w:val="20"/>
          <w:szCs w:val="20"/>
        </w:rPr>
        <w:br/>
        <w:t>3.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D06F3">
        <w:rPr>
          <w:rFonts w:ascii="Times New Roman" w:hAnsi="Times New Roman"/>
          <w:sz w:val="20"/>
          <w:szCs w:val="20"/>
        </w:rPr>
        <w:t>Dialysis, or chronic kidney disease</w:t>
      </w:r>
      <w:r w:rsidRPr="00DD06F3">
        <w:rPr>
          <w:rFonts w:ascii="Times New Roman" w:hAnsi="Times New Roman"/>
          <w:sz w:val="20"/>
          <w:szCs w:val="20"/>
        </w:rPr>
        <w:br/>
        <w:t>4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D06F3">
        <w:rPr>
          <w:rFonts w:ascii="Times New Roman" w:hAnsi="Times New Roman"/>
          <w:sz w:val="20"/>
          <w:szCs w:val="20"/>
        </w:rPr>
        <w:t xml:space="preserve">Broad spectrum antibiotic use </w:t>
      </w:r>
      <w:r w:rsidRPr="00DD06F3">
        <w:rPr>
          <w:rFonts w:ascii="Times New Roman" w:hAnsi="Times New Roman"/>
          <w:sz w:val="20"/>
          <w:szCs w:val="20"/>
          <w:u w:val="single"/>
        </w:rPr>
        <w:t>&gt;</w:t>
      </w:r>
      <w:r w:rsidRPr="00DD06F3">
        <w:rPr>
          <w:rFonts w:ascii="Times New Roman" w:hAnsi="Times New Roman"/>
          <w:sz w:val="20"/>
          <w:szCs w:val="20"/>
        </w:rPr>
        <w:t xml:space="preserve"> 14 days</w:t>
      </w:r>
      <w:r w:rsidRPr="00DD06F3">
        <w:rPr>
          <w:rFonts w:ascii="Times New Roman" w:hAnsi="Times New Roman"/>
          <w:sz w:val="20"/>
          <w:szCs w:val="20"/>
        </w:rPr>
        <w:br/>
        <w:t>5.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Biliary leakage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288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d. For fever &gt; 24 hours and history of multi-drug resistant organism(s) or fever persisting &gt; 24 hours, consult Transplant ID.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IV. Empiric antimicrobial coverage for biliary procedure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lastRenderedPageBreak/>
        <w:t>Piperacillin</w:t>
      </w:r>
      <w:proofErr w:type="spellEnd"/>
      <w:r w:rsidRPr="00DD06F3">
        <w:rPr>
          <w:rFonts w:ascii="Times New Roman" w:hAnsi="Times New Roman"/>
          <w:sz w:val="20"/>
          <w:szCs w:val="20"/>
        </w:rPr>
        <w:t>/</w:t>
      </w:r>
      <w:proofErr w:type="spellStart"/>
      <w:r w:rsidRPr="00DD06F3">
        <w:rPr>
          <w:rFonts w:ascii="Times New Roman" w:hAnsi="Times New Roman"/>
          <w:sz w:val="20"/>
          <w:szCs w:val="20"/>
        </w:rPr>
        <w:t>tazobactram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4.5 grams IV x 1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If PCN allergy, levofloxacin 750mg IV x 1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V. Anti-pneumocystis prophylaxis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t>Sulfamethoxazole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/trimethoprim (SMZ/TMP) single strength tablet daily x 6 months. </w:t>
      </w:r>
      <w:proofErr w:type="gramStart"/>
      <w:r w:rsidRPr="00DD06F3">
        <w:rPr>
          <w:rFonts w:ascii="Times New Roman" w:hAnsi="Times New Roman"/>
          <w:sz w:val="20"/>
          <w:szCs w:val="20"/>
        </w:rPr>
        <w:t>Dose to be adjusted for renal insufficiency/dialysis, severe leucopenia (WBC &lt; 3).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468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If estimated </w:t>
      </w:r>
      <w:proofErr w:type="spellStart"/>
      <w:r w:rsidRPr="00DD06F3">
        <w:rPr>
          <w:rFonts w:ascii="Times New Roman" w:hAnsi="Times New Roman"/>
          <w:sz w:val="20"/>
          <w:szCs w:val="20"/>
        </w:rPr>
        <w:t>CrCl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is &lt; 30ml/min, administer SMZ/TMP SS 1 tab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Mon/Wed/Fri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468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If persistent hyperkalemia and patient is on SMZ/TMP, consider reducing to MWF or holding medication.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43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br/>
        <w:t xml:space="preserve">b. Patients with documented sulfa allergy may receive one of the following (listed in order of preference):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t>Atovaquone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1500mg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daily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Inhaled </w:t>
      </w:r>
      <w:proofErr w:type="spellStart"/>
      <w:r w:rsidRPr="00DD06F3">
        <w:rPr>
          <w:rFonts w:ascii="Times New Roman" w:hAnsi="Times New Roman"/>
          <w:sz w:val="20"/>
          <w:szCs w:val="20"/>
        </w:rPr>
        <w:t>pentamadine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300mg via inhalation q month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t>Dapsone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100mg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daily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68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1. Check G6PD prior to initiation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68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Possible side effects: </w:t>
      </w:r>
      <w:proofErr w:type="spellStart"/>
      <w:r w:rsidRPr="00DD06F3">
        <w:rPr>
          <w:rFonts w:ascii="Times New Roman" w:hAnsi="Times New Roman"/>
          <w:sz w:val="20"/>
          <w:szCs w:val="20"/>
        </w:rPr>
        <w:t>methemoglobinemia</w:t>
      </w:r>
      <w:proofErr w:type="spellEnd"/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VI. Anti-fungal prophylaxis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25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a. Nystatin </w:t>
      </w:r>
      <w:proofErr w:type="gramStart"/>
      <w:r w:rsidRPr="00DD06F3">
        <w:rPr>
          <w:rFonts w:ascii="Times New Roman" w:hAnsi="Times New Roman"/>
          <w:sz w:val="20"/>
          <w:szCs w:val="20"/>
        </w:rPr>
        <w:t>swish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and swallow 500,000 units (5ml)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four times daily x 3 months. Patients receiving fluconazole do not need to receive nystatin prophylaxis until after fluconazole is discontinued.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VII. Antihypertensive therapy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25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a. Hypertension is defined as a sitting systolic blood pressure (SBP) of greater than or equal to 140mmHg or a diastolic blood pressure (DBP) of greater than or equal to 90mmHg. Severity ratings as follows: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612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t>i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. Mild: SBP </w:t>
      </w:r>
      <w:r w:rsidRPr="00DD06F3">
        <w:rPr>
          <w:rFonts w:ascii="Times New Roman" w:hAnsi="Times New Roman"/>
          <w:sz w:val="20"/>
          <w:szCs w:val="20"/>
          <w:u w:val="single"/>
        </w:rPr>
        <w:t>&gt;</w:t>
      </w:r>
      <w:r w:rsidRPr="00DD06F3">
        <w:rPr>
          <w:rFonts w:ascii="Times New Roman" w:hAnsi="Times New Roman"/>
          <w:sz w:val="20"/>
          <w:szCs w:val="20"/>
        </w:rPr>
        <w:t xml:space="preserve"> 140 mmHg or DBP 90-104 mmHg</w:t>
      </w:r>
      <w:r w:rsidRPr="00DD06F3">
        <w:rPr>
          <w:rFonts w:ascii="Times New Roman" w:hAnsi="Times New Roman"/>
          <w:sz w:val="20"/>
          <w:szCs w:val="20"/>
        </w:rPr>
        <w:br/>
        <w:t>ii. Moderate: SBP &gt; 160 mmHg or DBP 105-114 mmHg</w:t>
      </w:r>
      <w:r w:rsidRPr="00DD06F3">
        <w:rPr>
          <w:rFonts w:ascii="Times New Roman" w:hAnsi="Times New Roman"/>
          <w:sz w:val="20"/>
          <w:szCs w:val="20"/>
        </w:rPr>
        <w:br/>
        <w:t>iii. Severe: SBP &gt; 200 mmHg or DBP &gt; 115 mmHg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288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b. Patients already on </w:t>
      </w:r>
      <w:proofErr w:type="spellStart"/>
      <w:r w:rsidRPr="00DD06F3">
        <w:rPr>
          <w:rFonts w:ascii="Times New Roman" w:hAnsi="Times New Roman"/>
          <w:sz w:val="20"/>
          <w:szCs w:val="20"/>
        </w:rPr>
        <w:t>antihypertensives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may be treated with alterations in their current regimen or the regimen outlined for new-onset hypertension.</w:t>
      </w:r>
      <w:r w:rsidRPr="00DD06F3">
        <w:rPr>
          <w:rFonts w:ascii="Times New Roman" w:hAnsi="Times New Roman"/>
          <w:sz w:val="20"/>
          <w:szCs w:val="20"/>
        </w:rPr>
        <w:br/>
        <w:t xml:space="preserve">c. A diagnosis of mild hypertension is to be if three consecutive readings taken on different days are SBP &gt; 140 mmHg or DBP 90-104 mmHg. Treatment may be initiated upon findings of mild to severe hypertension after confirmation with repeat determinations on the same day with treatments as follows (in order of preference):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96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t>i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. Calcium channel blocker of the </w:t>
      </w:r>
      <w:proofErr w:type="spellStart"/>
      <w:r w:rsidRPr="00DD06F3">
        <w:rPr>
          <w:rFonts w:ascii="Times New Roman" w:hAnsi="Times New Roman"/>
          <w:sz w:val="20"/>
          <w:szCs w:val="20"/>
        </w:rPr>
        <w:t>dihydroperidine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class (amlodipine or </w:t>
      </w:r>
      <w:proofErr w:type="spellStart"/>
      <w:r w:rsidRPr="00DD06F3">
        <w:rPr>
          <w:rFonts w:ascii="Times New Roman" w:hAnsi="Times New Roman"/>
          <w:sz w:val="20"/>
          <w:szCs w:val="20"/>
        </w:rPr>
        <w:t>nifedipine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XL)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1. First line agent in new onset hypertension. Doses should be maximized (by labeled dose or tolerance) prior to adding second line therapy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lastRenderedPageBreak/>
        <w:t>2. Avoid the use of non-</w:t>
      </w:r>
      <w:proofErr w:type="spellStart"/>
      <w:r w:rsidRPr="00DD06F3">
        <w:rPr>
          <w:rFonts w:ascii="Times New Roman" w:hAnsi="Times New Roman"/>
          <w:sz w:val="20"/>
          <w:szCs w:val="20"/>
        </w:rPr>
        <w:t>dihydroperidine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class such as verapamil, </w:t>
      </w:r>
      <w:proofErr w:type="spellStart"/>
      <w:r w:rsidRPr="00DD06F3">
        <w:rPr>
          <w:rFonts w:ascii="Times New Roman" w:hAnsi="Times New Roman"/>
          <w:sz w:val="20"/>
          <w:szCs w:val="20"/>
        </w:rPr>
        <w:t>nicardipine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and </w:t>
      </w:r>
      <w:proofErr w:type="spellStart"/>
      <w:r w:rsidRPr="00DD06F3">
        <w:rPr>
          <w:rFonts w:ascii="Times New Roman" w:hAnsi="Times New Roman"/>
          <w:sz w:val="20"/>
          <w:szCs w:val="20"/>
        </w:rPr>
        <w:t>diltiazem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due to the effect on </w:t>
      </w:r>
      <w:proofErr w:type="spellStart"/>
      <w:r w:rsidRPr="00DD06F3">
        <w:rPr>
          <w:rFonts w:ascii="Times New Roman" w:hAnsi="Times New Roman"/>
          <w:sz w:val="20"/>
          <w:szCs w:val="20"/>
        </w:rPr>
        <w:t>tacrolimus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(will increase </w:t>
      </w:r>
      <w:proofErr w:type="spellStart"/>
      <w:r w:rsidRPr="00DD06F3">
        <w:rPr>
          <w:rFonts w:ascii="Times New Roman" w:hAnsi="Times New Roman"/>
          <w:sz w:val="20"/>
          <w:szCs w:val="20"/>
        </w:rPr>
        <w:t>tacrolimus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levels)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43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ii. Beta blockers (</w:t>
      </w:r>
      <w:proofErr w:type="spellStart"/>
      <w:r w:rsidRPr="00DD06F3">
        <w:rPr>
          <w:rFonts w:ascii="Times New Roman" w:hAnsi="Times New Roman"/>
          <w:sz w:val="20"/>
          <w:szCs w:val="20"/>
        </w:rPr>
        <w:t>metoprolol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atenolol, labetalol, carvedilol)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1. May be considered drug of choice for </w:t>
      </w:r>
      <w:proofErr w:type="spellStart"/>
      <w:r w:rsidRPr="00DD06F3">
        <w:rPr>
          <w:rFonts w:ascii="Times New Roman" w:hAnsi="Times New Roman"/>
          <w:sz w:val="20"/>
          <w:szCs w:val="20"/>
        </w:rPr>
        <w:t>htn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if patient is also </w:t>
      </w:r>
      <w:proofErr w:type="spellStart"/>
      <w:r w:rsidRPr="00DD06F3">
        <w:rPr>
          <w:rFonts w:ascii="Times New Roman" w:hAnsi="Times New Roman"/>
          <w:sz w:val="20"/>
          <w:szCs w:val="20"/>
        </w:rPr>
        <w:t>tachycardic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has atrial fibrillation, or another compelling indication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2. Avoid beta blockers if HR &lt; 60 bpm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43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iii. ACE-Inhibitors (ACE-I) or angiotensin receptor blockers (ARBs) if patient is 6 months or more from transplant (ex: </w:t>
      </w:r>
      <w:proofErr w:type="spellStart"/>
      <w:r w:rsidRPr="00DD06F3">
        <w:rPr>
          <w:rFonts w:ascii="Times New Roman" w:hAnsi="Times New Roman"/>
          <w:sz w:val="20"/>
          <w:szCs w:val="20"/>
        </w:rPr>
        <w:t>lisinopril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losartan)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1. Potential </w:t>
      </w:r>
      <w:proofErr w:type="spellStart"/>
      <w:r w:rsidRPr="00DD06F3">
        <w:rPr>
          <w:rFonts w:ascii="Times New Roman" w:hAnsi="Times New Roman"/>
          <w:sz w:val="20"/>
          <w:szCs w:val="20"/>
        </w:rPr>
        <w:t>cardioprotection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and renal protection. </w:t>
      </w:r>
      <w:proofErr w:type="gramStart"/>
      <w:r w:rsidRPr="00DD06F3">
        <w:rPr>
          <w:rFonts w:ascii="Times New Roman" w:hAnsi="Times New Roman"/>
          <w:sz w:val="20"/>
          <w:szCs w:val="20"/>
        </w:rPr>
        <w:t>May be drug of choice in some patients with diabetes mellitus and/or cardiovascular disease or low EF.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proofErr w:type="gramStart"/>
      <w:r w:rsidRPr="00DD06F3">
        <w:rPr>
          <w:rFonts w:ascii="Times New Roman" w:hAnsi="Times New Roman"/>
          <w:sz w:val="20"/>
          <w:szCs w:val="20"/>
        </w:rPr>
        <w:t>2.Avoid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if K &gt; 5.5</w:t>
      </w:r>
      <w:r w:rsidRPr="00DD06F3">
        <w:rPr>
          <w:rFonts w:ascii="Times New Roman" w:hAnsi="Times New Roman"/>
          <w:sz w:val="20"/>
          <w:szCs w:val="20"/>
        </w:rPr>
        <w:br/>
        <w:t xml:space="preserve">3. Avoid if </w:t>
      </w:r>
      <w:proofErr w:type="spellStart"/>
      <w:r w:rsidRPr="00DD06F3">
        <w:rPr>
          <w:rFonts w:ascii="Times New Roman" w:hAnsi="Times New Roman"/>
          <w:sz w:val="20"/>
          <w:szCs w:val="20"/>
        </w:rPr>
        <w:t>SCr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&gt; 3 mg/</w:t>
      </w:r>
      <w:proofErr w:type="spellStart"/>
      <w:r w:rsidRPr="00DD06F3">
        <w:rPr>
          <w:rFonts w:ascii="Times New Roman" w:hAnsi="Times New Roman"/>
          <w:sz w:val="20"/>
          <w:szCs w:val="20"/>
        </w:rPr>
        <w:t>dL</w:t>
      </w:r>
      <w:proofErr w:type="spellEnd"/>
      <w:r w:rsidRPr="00DD06F3">
        <w:rPr>
          <w:rFonts w:ascii="Times New Roman" w:hAnsi="Times New Roman"/>
          <w:sz w:val="20"/>
          <w:szCs w:val="20"/>
        </w:rPr>
        <w:br/>
        <w:t>4. Second line therapy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43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iv. Alpha agonist (Clonidine) tablets or patches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43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v. Vasodilators (Hydralazine)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43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vi. Alpha blockers (</w:t>
      </w:r>
      <w:proofErr w:type="spellStart"/>
      <w:r w:rsidRPr="00DD06F3">
        <w:rPr>
          <w:rFonts w:ascii="Times New Roman" w:hAnsi="Times New Roman"/>
          <w:sz w:val="20"/>
          <w:szCs w:val="20"/>
        </w:rPr>
        <w:t>tamsulosin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D06F3">
        <w:rPr>
          <w:rFonts w:ascii="Times New Roman" w:hAnsi="Times New Roman"/>
          <w:sz w:val="20"/>
          <w:szCs w:val="20"/>
        </w:rPr>
        <w:t>doxazosin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D06F3">
        <w:rPr>
          <w:rFonts w:ascii="Times New Roman" w:hAnsi="Times New Roman"/>
          <w:sz w:val="20"/>
          <w:szCs w:val="20"/>
        </w:rPr>
        <w:t>etc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May be of benefit in patients with urinary retention and/or benign </w:t>
      </w:r>
      <w:proofErr w:type="spellStart"/>
      <w:r w:rsidRPr="00DD06F3">
        <w:rPr>
          <w:rFonts w:ascii="Times New Roman" w:hAnsi="Times New Roman"/>
          <w:sz w:val="20"/>
          <w:szCs w:val="20"/>
        </w:rPr>
        <w:t>protstate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hypertrophy (BPH)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43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vii. Diuretics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Loop diuretics (furosemide, </w:t>
      </w:r>
      <w:proofErr w:type="spellStart"/>
      <w:r w:rsidRPr="00DD06F3">
        <w:rPr>
          <w:rFonts w:ascii="Times New Roman" w:hAnsi="Times New Roman"/>
          <w:sz w:val="20"/>
          <w:szCs w:val="20"/>
        </w:rPr>
        <w:t>torsemide</w:t>
      </w:r>
      <w:proofErr w:type="spellEnd"/>
      <w:proofErr w:type="gramStart"/>
      <w:r w:rsidRPr="00DD06F3">
        <w:rPr>
          <w:rFonts w:ascii="Times New Roman" w:hAnsi="Times New Roman"/>
          <w:sz w:val="20"/>
          <w:szCs w:val="20"/>
        </w:rPr>
        <w:t>)should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be used carefully in liver transplant recipients because of their tendency to cause volume depletion and worsening renal function.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Indications may include ascites, edema, volume overload post-transplant or patients with congestive heart failure.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54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Potassium sparing diuretics (spironolactone, </w:t>
      </w:r>
      <w:proofErr w:type="spellStart"/>
      <w:r w:rsidRPr="00DD06F3">
        <w:rPr>
          <w:rFonts w:ascii="Times New Roman" w:hAnsi="Times New Roman"/>
          <w:sz w:val="20"/>
          <w:szCs w:val="20"/>
        </w:rPr>
        <w:t>amiloride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 should generally be avoided post-transplant due to their tendency to hyperkalemia which can be potentiated by </w:t>
      </w:r>
      <w:proofErr w:type="spellStart"/>
      <w:r w:rsidRPr="00DD06F3">
        <w:rPr>
          <w:rFonts w:ascii="Times New Roman" w:hAnsi="Times New Roman"/>
          <w:sz w:val="20"/>
          <w:szCs w:val="20"/>
        </w:rPr>
        <w:t>calcineurin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inhibitors (</w:t>
      </w:r>
      <w:proofErr w:type="spellStart"/>
      <w:r w:rsidRPr="00DD06F3">
        <w:rPr>
          <w:rFonts w:ascii="Times New Roman" w:hAnsi="Times New Roman"/>
          <w:sz w:val="20"/>
          <w:szCs w:val="20"/>
        </w:rPr>
        <w:t>tacrolimus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and cyclosporine) and </w:t>
      </w:r>
      <w:proofErr w:type="spellStart"/>
      <w:r w:rsidRPr="00DD06F3">
        <w:rPr>
          <w:rFonts w:ascii="Times New Roman" w:hAnsi="Times New Roman"/>
          <w:sz w:val="20"/>
          <w:szCs w:val="20"/>
        </w:rPr>
        <w:t>sulfamethoxazole</w:t>
      </w:r>
      <w:proofErr w:type="spellEnd"/>
      <w:r w:rsidRPr="00DD06F3">
        <w:rPr>
          <w:rFonts w:ascii="Times New Roman" w:hAnsi="Times New Roman"/>
          <w:sz w:val="20"/>
          <w:szCs w:val="20"/>
        </w:rPr>
        <w:t>/trimethoprim.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VIII. Aspirin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Aspirin 81mg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06F3">
        <w:rPr>
          <w:rFonts w:ascii="Times New Roman" w:hAnsi="Times New Roman"/>
          <w:sz w:val="20"/>
          <w:szCs w:val="20"/>
        </w:rPr>
        <w:t>qday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starting </w:t>
      </w:r>
      <w:proofErr w:type="spellStart"/>
      <w:r w:rsidRPr="00DD06F3">
        <w:rPr>
          <w:rFonts w:ascii="Times New Roman" w:hAnsi="Times New Roman"/>
          <w:sz w:val="20"/>
          <w:szCs w:val="20"/>
        </w:rPr>
        <w:t>post transplant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for all patients unless contraindicated. Initiation will start after platelet count is &gt; 50,000 and stable. Contraindications may include concomitant warfarin and/or </w:t>
      </w:r>
      <w:proofErr w:type="spellStart"/>
      <w:r w:rsidRPr="00DD06F3">
        <w:rPr>
          <w:rFonts w:ascii="Times New Roman" w:hAnsi="Times New Roman"/>
          <w:sz w:val="20"/>
          <w:szCs w:val="20"/>
        </w:rPr>
        <w:t>clopidogrel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(Plavix) treatment.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Aspirin does not need to be held for liver biopsy.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If the patient has a history of PUD, consider initiation of a PPI (pantoprazole, esomeprazole, omeprazole, </w:t>
      </w:r>
      <w:proofErr w:type="spellStart"/>
      <w:r w:rsidRPr="00DD06F3">
        <w:rPr>
          <w:rFonts w:ascii="Times New Roman" w:hAnsi="Times New Roman"/>
          <w:sz w:val="20"/>
          <w:szCs w:val="20"/>
        </w:rPr>
        <w:t>etc</w:t>
      </w:r>
      <w:proofErr w:type="spellEnd"/>
      <w:r w:rsidRPr="00DD06F3">
        <w:rPr>
          <w:rFonts w:ascii="Times New Roman" w:hAnsi="Times New Roman"/>
          <w:sz w:val="20"/>
          <w:szCs w:val="20"/>
        </w:rPr>
        <w:t>).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lastRenderedPageBreak/>
        <w:br/>
        <w:t xml:space="preserve">IX. DVT Prophylaxis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a. Alternating leg pressure/sequential compression devices</w:t>
      </w:r>
      <w:r w:rsidRPr="00DD06F3">
        <w:rPr>
          <w:rFonts w:ascii="Times New Roman" w:hAnsi="Times New Roman"/>
          <w:sz w:val="20"/>
          <w:szCs w:val="20"/>
        </w:rPr>
        <w:br/>
        <w:t xml:space="preserve">b. Heparin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t>i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. Heparin 5000 </w:t>
      </w:r>
      <w:proofErr w:type="gramStart"/>
      <w:r w:rsidRPr="00DD06F3">
        <w:rPr>
          <w:rFonts w:ascii="Times New Roman" w:hAnsi="Times New Roman"/>
          <w:sz w:val="20"/>
          <w:szCs w:val="20"/>
        </w:rPr>
        <w:t>units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SQ q8hr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X. Supplements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a. Multivitamin 1 tablet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06F3">
        <w:rPr>
          <w:rFonts w:ascii="Times New Roman" w:hAnsi="Times New Roman"/>
          <w:sz w:val="20"/>
          <w:szCs w:val="20"/>
        </w:rPr>
        <w:t>qday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in all patients unless contraindicated</w:t>
      </w:r>
      <w:r w:rsidRPr="00DD06F3">
        <w:rPr>
          <w:rFonts w:ascii="Times New Roman" w:hAnsi="Times New Roman"/>
          <w:sz w:val="20"/>
          <w:szCs w:val="20"/>
        </w:rPr>
        <w:br/>
        <w:t>b. Calcium and Vitamin D supplements should be considered in patients on long-term prednisone therapy.</w:t>
      </w:r>
      <w:r w:rsidRPr="00DD06F3">
        <w:rPr>
          <w:rFonts w:ascii="Times New Roman" w:hAnsi="Times New Roman"/>
          <w:sz w:val="20"/>
          <w:szCs w:val="20"/>
        </w:rPr>
        <w:br/>
        <w:t xml:space="preserve">c. Magnesium oxide 400mg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BID as indicated for low magnesium or medically necessity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XI. </w:t>
      </w:r>
      <w:proofErr w:type="spellStart"/>
      <w:r w:rsidRPr="00DD06F3">
        <w:rPr>
          <w:rFonts w:ascii="Times New Roman" w:hAnsi="Times New Roman"/>
          <w:sz w:val="20"/>
          <w:szCs w:val="20"/>
        </w:rPr>
        <w:t>Antihyperlipidemic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therapy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a. Hyperlipidemia is defined as </w:t>
      </w:r>
      <w:proofErr w:type="gramStart"/>
      <w:r w:rsidRPr="00DD06F3">
        <w:rPr>
          <w:rFonts w:ascii="Times New Roman" w:hAnsi="Times New Roman"/>
          <w:sz w:val="20"/>
          <w:szCs w:val="20"/>
        </w:rPr>
        <w:t>a total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serum cholesterol of &gt; 200 mg/</w:t>
      </w:r>
      <w:proofErr w:type="spellStart"/>
      <w:r w:rsidRPr="00DD06F3">
        <w:rPr>
          <w:rFonts w:ascii="Times New Roman" w:hAnsi="Times New Roman"/>
          <w:sz w:val="20"/>
          <w:szCs w:val="20"/>
        </w:rPr>
        <w:t>dL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or a LDL cholesterol of &gt; 100 mg/</w:t>
      </w:r>
      <w:proofErr w:type="spellStart"/>
      <w:r w:rsidRPr="00DD06F3">
        <w:rPr>
          <w:rFonts w:ascii="Times New Roman" w:hAnsi="Times New Roman"/>
          <w:sz w:val="20"/>
          <w:szCs w:val="20"/>
        </w:rPr>
        <w:t>dL</w:t>
      </w:r>
      <w:proofErr w:type="spellEnd"/>
      <w:r w:rsidRPr="00DD06F3">
        <w:rPr>
          <w:rFonts w:ascii="Times New Roman" w:hAnsi="Times New Roman"/>
          <w:sz w:val="20"/>
          <w:szCs w:val="20"/>
        </w:rPr>
        <w:t>.</w:t>
      </w:r>
      <w:r w:rsidRPr="00DD06F3">
        <w:rPr>
          <w:rFonts w:ascii="Times New Roman" w:hAnsi="Times New Roman"/>
          <w:sz w:val="20"/>
          <w:szCs w:val="20"/>
        </w:rPr>
        <w:br/>
        <w:t>b. Therapy for fasting hyperlipidemia should be initiated at three months if lipid levels exceed those listed above and do not respond to lifestyle modifications. Lifestyle modifications may include a change in diet, increased exercise and/or weight loss.</w:t>
      </w:r>
      <w:r w:rsidRPr="00DD06F3">
        <w:rPr>
          <w:rFonts w:ascii="Times New Roman" w:hAnsi="Times New Roman"/>
          <w:sz w:val="20"/>
          <w:szCs w:val="20"/>
        </w:rPr>
        <w:br/>
        <w:t>c. Statins such as pravastatin (</w:t>
      </w:r>
      <w:proofErr w:type="spellStart"/>
      <w:r w:rsidRPr="00DD06F3">
        <w:rPr>
          <w:rFonts w:ascii="Times New Roman" w:hAnsi="Times New Roman"/>
          <w:sz w:val="20"/>
          <w:szCs w:val="20"/>
        </w:rPr>
        <w:t>Pravachol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 20mg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06F3">
        <w:rPr>
          <w:rFonts w:ascii="Times New Roman" w:hAnsi="Times New Roman"/>
          <w:sz w:val="20"/>
          <w:szCs w:val="20"/>
        </w:rPr>
        <w:t>qhs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atorvastatin (Lipitor) 10 mg </w:t>
      </w:r>
      <w:proofErr w:type="spellStart"/>
      <w:r w:rsidRPr="00DD06F3">
        <w:rPr>
          <w:rFonts w:ascii="Times New Roman" w:hAnsi="Times New Roman"/>
          <w:sz w:val="20"/>
          <w:szCs w:val="20"/>
        </w:rPr>
        <w:t>qhs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D06F3">
        <w:rPr>
          <w:rFonts w:ascii="Times New Roman" w:hAnsi="Times New Roman"/>
          <w:sz w:val="20"/>
          <w:szCs w:val="20"/>
        </w:rPr>
        <w:t>rosuvastatin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(Crestor) 5mg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06F3">
        <w:rPr>
          <w:rFonts w:ascii="Times New Roman" w:hAnsi="Times New Roman"/>
          <w:sz w:val="20"/>
          <w:szCs w:val="20"/>
        </w:rPr>
        <w:t>qhs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or simvastatin (Zocor) 5 mg </w:t>
      </w:r>
      <w:proofErr w:type="spellStart"/>
      <w:r w:rsidRPr="00DD06F3">
        <w:rPr>
          <w:rFonts w:ascii="Times New Roman" w:hAnsi="Times New Roman"/>
          <w:sz w:val="20"/>
          <w:szCs w:val="20"/>
        </w:rPr>
        <w:t>qhs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should be used to treat elevated cholesterol. The dose of simvastatin should not exceed 40mg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06F3">
        <w:rPr>
          <w:rFonts w:ascii="Times New Roman" w:hAnsi="Times New Roman"/>
          <w:sz w:val="20"/>
          <w:szCs w:val="20"/>
        </w:rPr>
        <w:t>qday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if used concurrently with CNIs or </w:t>
      </w:r>
      <w:proofErr w:type="spellStart"/>
      <w:r w:rsidRPr="00DD06F3">
        <w:rPr>
          <w:rFonts w:ascii="Times New Roman" w:hAnsi="Times New Roman"/>
          <w:sz w:val="20"/>
          <w:szCs w:val="20"/>
        </w:rPr>
        <w:t>mTOR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inhibitors due to increased risk of adverse effects.</w:t>
      </w:r>
      <w:r w:rsidRPr="00DD06F3">
        <w:rPr>
          <w:rFonts w:ascii="Times New Roman" w:hAnsi="Times New Roman"/>
          <w:sz w:val="20"/>
          <w:szCs w:val="20"/>
        </w:rPr>
        <w:br/>
        <w:t xml:space="preserve">d. Dose should be increased as necessary to decrease triglyceride and/or serum cholesterol levels by at least 20%. </w:t>
      </w:r>
      <w:r w:rsidRPr="00DD06F3">
        <w:rPr>
          <w:rFonts w:ascii="Times New Roman" w:hAnsi="Times New Roman"/>
          <w:sz w:val="20"/>
          <w:szCs w:val="20"/>
        </w:rPr>
        <w:br/>
        <w:t xml:space="preserve">e. Check a baseline CPK (statins and </w:t>
      </w:r>
      <w:proofErr w:type="spellStart"/>
      <w:r w:rsidRPr="00DD06F3">
        <w:rPr>
          <w:rFonts w:ascii="Times New Roman" w:hAnsi="Times New Roman"/>
          <w:sz w:val="20"/>
          <w:szCs w:val="20"/>
        </w:rPr>
        <w:t>immunosuppressants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= increase risk of </w:t>
      </w:r>
      <w:proofErr w:type="spellStart"/>
      <w:r w:rsidRPr="00DD06F3">
        <w:rPr>
          <w:rFonts w:ascii="Times New Roman" w:hAnsi="Times New Roman"/>
          <w:sz w:val="20"/>
          <w:szCs w:val="20"/>
        </w:rPr>
        <w:t>rhabdomyolisis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 and LFTs, if not done. Recheck LFTs and CPK at no more than 6 weeks after initiation of statin therapy. Increases in LFTs are not an absolute contraindication to continuing statin therapy as a detrimental increase in LFTs is a rare adverse effect. </w:t>
      </w:r>
      <w:r w:rsidRPr="00DD06F3">
        <w:rPr>
          <w:rFonts w:ascii="Times New Roman" w:hAnsi="Times New Roman"/>
          <w:sz w:val="20"/>
          <w:szCs w:val="20"/>
        </w:rPr>
        <w:br/>
        <w:t xml:space="preserve">f. For patients unable to tolerate statins, alternative therapy includes </w:t>
      </w:r>
      <w:proofErr w:type="spellStart"/>
      <w:r w:rsidRPr="00DD06F3">
        <w:rPr>
          <w:rFonts w:ascii="Times New Roman" w:hAnsi="Times New Roman"/>
          <w:sz w:val="20"/>
          <w:szCs w:val="20"/>
        </w:rPr>
        <w:t>fibric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acid derivatives such as </w:t>
      </w:r>
      <w:proofErr w:type="spellStart"/>
      <w:r w:rsidRPr="00DD06F3">
        <w:rPr>
          <w:rFonts w:ascii="Times New Roman" w:hAnsi="Times New Roman"/>
          <w:sz w:val="20"/>
          <w:szCs w:val="20"/>
        </w:rPr>
        <w:t>fenofibrate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D06F3">
        <w:rPr>
          <w:rFonts w:ascii="Times New Roman" w:hAnsi="Times New Roman"/>
          <w:sz w:val="20"/>
          <w:szCs w:val="20"/>
        </w:rPr>
        <w:t>Tricor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DD06F3">
        <w:rPr>
          <w:rFonts w:ascii="Times New Roman" w:hAnsi="Times New Roman"/>
          <w:sz w:val="20"/>
          <w:szCs w:val="20"/>
        </w:rPr>
        <w:t>gemfibrozil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D06F3">
        <w:rPr>
          <w:rFonts w:ascii="Times New Roman" w:hAnsi="Times New Roman"/>
          <w:sz w:val="20"/>
          <w:szCs w:val="20"/>
        </w:rPr>
        <w:t>Lopid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 or </w:t>
      </w:r>
      <w:proofErr w:type="spellStart"/>
      <w:r w:rsidRPr="00DD06F3">
        <w:rPr>
          <w:rFonts w:ascii="Times New Roman" w:hAnsi="Times New Roman"/>
          <w:sz w:val="20"/>
          <w:szCs w:val="20"/>
        </w:rPr>
        <w:t>ezetimibe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D06F3">
        <w:rPr>
          <w:rFonts w:ascii="Times New Roman" w:hAnsi="Times New Roman"/>
          <w:sz w:val="20"/>
          <w:szCs w:val="20"/>
        </w:rPr>
        <w:t>Zetia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 and other agents as appropriate. </w:t>
      </w:r>
      <w:r w:rsidRPr="00DD06F3">
        <w:rPr>
          <w:rFonts w:ascii="Times New Roman" w:hAnsi="Times New Roman"/>
          <w:sz w:val="20"/>
          <w:szCs w:val="20"/>
        </w:rPr>
        <w:br/>
        <w:t>g. For triglycerides &gt; 200 mg/</w:t>
      </w:r>
      <w:proofErr w:type="spellStart"/>
      <w:r w:rsidRPr="00DD06F3">
        <w:rPr>
          <w:rFonts w:ascii="Times New Roman" w:hAnsi="Times New Roman"/>
          <w:sz w:val="20"/>
          <w:szCs w:val="20"/>
        </w:rPr>
        <w:t>dL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start a </w:t>
      </w:r>
      <w:proofErr w:type="spellStart"/>
      <w:r w:rsidRPr="00DD06F3">
        <w:rPr>
          <w:rFonts w:ascii="Times New Roman" w:hAnsi="Times New Roman"/>
          <w:sz w:val="20"/>
          <w:szCs w:val="20"/>
        </w:rPr>
        <w:t>fibric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acid derivative such as </w:t>
      </w:r>
      <w:proofErr w:type="spellStart"/>
      <w:r w:rsidRPr="00DD06F3">
        <w:rPr>
          <w:rFonts w:ascii="Times New Roman" w:hAnsi="Times New Roman"/>
          <w:sz w:val="20"/>
          <w:szCs w:val="20"/>
        </w:rPr>
        <w:t>fenofibrate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D06F3">
        <w:rPr>
          <w:rFonts w:ascii="Times New Roman" w:hAnsi="Times New Roman"/>
          <w:sz w:val="20"/>
          <w:szCs w:val="20"/>
        </w:rPr>
        <w:t>Tricor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 54 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daily or </w:t>
      </w:r>
      <w:proofErr w:type="spellStart"/>
      <w:r w:rsidRPr="00DD06F3">
        <w:rPr>
          <w:rFonts w:ascii="Times New Roman" w:hAnsi="Times New Roman"/>
          <w:sz w:val="20"/>
          <w:szCs w:val="20"/>
        </w:rPr>
        <w:t>gemfibrozil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D06F3">
        <w:rPr>
          <w:rFonts w:ascii="Times New Roman" w:hAnsi="Times New Roman"/>
          <w:sz w:val="20"/>
          <w:szCs w:val="20"/>
        </w:rPr>
        <w:t>Lopid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 600mg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BID and increasing after 6 weeks of therapy to maintain triglycerides below 200mg/</w:t>
      </w:r>
      <w:proofErr w:type="spellStart"/>
      <w:r w:rsidRPr="00DD06F3">
        <w:rPr>
          <w:rFonts w:ascii="Times New Roman" w:hAnsi="Times New Roman"/>
          <w:sz w:val="20"/>
          <w:szCs w:val="20"/>
        </w:rPr>
        <w:t>dL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. LFTs should be checked no less than 6 weeks after initiation of </w:t>
      </w:r>
      <w:proofErr w:type="spellStart"/>
      <w:r w:rsidRPr="00DD06F3">
        <w:rPr>
          <w:rFonts w:ascii="Times New Roman" w:hAnsi="Times New Roman"/>
          <w:sz w:val="20"/>
          <w:szCs w:val="20"/>
        </w:rPr>
        <w:t>fibric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acid derivative treatment. Blood glucose should be controlled to help decrease </w:t>
      </w:r>
      <w:proofErr w:type="spellStart"/>
      <w:r w:rsidRPr="00DD06F3">
        <w:rPr>
          <w:rFonts w:ascii="Times New Roman" w:hAnsi="Times New Roman"/>
          <w:sz w:val="20"/>
          <w:szCs w:val="20"/>
        </w:rPr>
        <w:t>hypertriglyercidemia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. If a patient is receiving </w:t>
      </w:r>
      <w:proofErr w:type="spellStart"/>
      <w:r w:rsidRPr="00DD06F3">
        <w:rPr>
          <w:rFonts w:ascii="Times New Roman" w:hAnsi="Times New Roman"/>
          <w:sz w:val="20"/>
          <w:szCs w:val="20"/>
        </w:rPr>
        <w:t>sirolimus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with increased triglycerides, consider changing immunosuppression if triglycerides unable to be controlled. When </w:t>
      </w:r>
      <w:proofErr w:type="spellStart"/>
      <w:r w:rsidRPr="00DD06F3">
        <w:rPr>
          <w:rFonts w:ascii="Times New Roman" w:hAnsi="Times New Roman"/>
          <w:sz w:val="20"/>
          <w:szCs w:val="20"/>
        </w:rPr>
        <w:t>fibric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acid derivatives are added to statin therapy, there is an increased risk of side effects, including </w:t>
      </w:r>
      <w:proofErr w:type="spellStart"/>
      <w:r w:rsidRPr="00DD06F3">
        <w:rPr>
          <w:rFonts w:ascii="Times New Roman" w:hAnsi="Times New Roman"/>
          <w:sz w:val="20"/>
          <w:szCs w:val="20"/>
        </w:rPr>
        <w:t>rhabdomolysis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. Monitoring is warranted. </w:t>
      </w:r>
      <w:r w:rsidRPr="00DD06F3">
        <w:rPr>
          <w:rFonts w:ascii="Times New Roman" w:hAnsi="Times New Roman"/>
          <w:sz w:val="20"/>
          <w:szCs w:val="20"/>
        </w:rPr>
        <w:br/>
        <w:t xml:space="preserve">h. For patients unable to tolerate statins or </w:t>
      </w:r>
      <w:proofErr w:type="spellStart"/>
      <w:r w:rsidRPr="00DD06F3">
        <w:rPr>
          <w:rFonts w:ascii="Times New Roman" w:hAnsi="Times New Roman"/>
          <w:sz w:val="20"/>
          <w:szCs w:val="20"/>
        </w:rPr>
        <w:t>fibric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acid derivatives, consider bile acid </w:t>
      </w:r>
      <w:proofErr w:type="spellStart"/>
      <w:r w:rsidRPr="00DD06F3">
        <w:rPr>
          <w:rFonts w:ascii="Times New Roman" w:hAnsi="Times New Roman"/>
          <w:sz w:val="20"/>
          <w:szCs w:val="20"/>
        </w:rPr>
        <w:t>sequesterants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such as </w:t>
      </w:r>
      <w:proofErr w:type="spellStart"/>
      <w:r w:rsidRPr="00DD06F3">
        <w:rPr>
          <w:rFonts w:ascii="Times New Roman" w:hAnsi="Times New Roman"/>
          <w:sz w:val="20"/>
          <w:szCs w:val="20"/>
        </w:rPr>
        <w:t>cholestyramine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D06F3">
        <w:rPr>
          <w:rFonts w:ascii="Times New Roman" w:hAnsi="Times New Roman"/>
          <w:sz w:val="20"/>
          <w:szCs w:val="20"/>
        </w:rPr>
        <w:t>Questran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 4 grams daily or </w:t>
      </w:r>
      <w:proofErr w:type="spellStart"/>
      <w:r w:rsidRPr="00DD06F3">
        <w:rPr>
          <w:rFonts w:ascii="Times New Roman" w:hAnsi="Times New Roman"/>
          <w:sz w:val="20"/>
          <w:szCs w:val="20"/>
        </w:rPr>
        <w:t>colestipol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5 grams daily and increase doses to achieve desired effect. Instruct patient to take bile acid </w:t>
      </w:r>
      <w:proofErr w:type="spellStart"/>
      <w:r w:rsidRPr="00DD06F3">
        <w:rPr>
          <w:rFonts w:ascii="Times New Roman" w:hAnsi="Times New Roman"/>
          <w:sz w:val="20"/>
          <w:szCs w:val="20"/>
        </w:rPr>
        <w:t>sequestrants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4 hours apart from </w:t>
      </w:r>
      <w:proofErr w:type="spellStart"/>
      <w:r w:rsidRPr="00DD06F3">
        <w:rPr>
          <w:rFonts w:ascii="Times New Roman" w:hAnsi="Times New Roman"/>
          <w:sz w:val="20"/>
          <w:szCs w:val="20"/>
        </w:rPr>
        <w:t>immunosuppressants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and other medications.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XII. Antacid, H-2 blocker or proton pump inhibitor prophylaxis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25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For occasional heartburn (non-daily), patient may take calcium carbonate (Tums) or magnesium hydroxide (Maalox). If the patient is receiving </w:t>
      </w:r>
      <w:proofErr w:type="spellStart"/>
      <w:r w:rsidRPr="00DD06F3">
        <w:rPr>
          <w:rFonts w:ascii="Times New Roman" w:hAnsi="Times New Roman"/>
          <w:sz w:val="20"/>
          <w:szCs w:val="20"/>
        </w:rPr>
        <w:t>mycophenolate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these medications need to be separated by at least 1 hour.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25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lastRenderedPageBreak/>
        <w:t>Consider prophylaxis in patients with a history</w:t>
      </w:r>
      <w:r w:rsidRPr="00DD06F3">
        <w:rPr>
          <w:rFonts w:ascii="Times New Roman" w:hAnsi="Times New Roman"/>
          <w:color w:val="008080"/>
          <w:sz w:val="20"/>
          <w:szCs w:val="20"/>
        </w:rPr>
        <w:t xml:space="preserve"> </w:t>
      </w:r>
      <w:r w:rsidRPr="00DD06F3">
        <w:rPr>
          <w:rFonts w:ascii="Times New Roman" w:hAnsi="Times New Roman"/>
          <w:sz w:val="20"/>
          <w:szCs w:val="20"/>
        </w:rPr>
        <w:t xml:space="preserve">of PUD or on concomitant aspirin and prednisone therapy.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96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Proton pump inhibitor prophylaxis is the first line agent. Drugs include esomeprazole (Nexium) 20-40mg daily, lansoprazole (</w:t>
      </w:r>
      <w:proofErr w:type="spellStart"/>
      <w:r w:rsidRPr="00DD06F3">
        <w:rPr>
          <w:rFonts w:ascii="Times New Roman" w:hAnsi="Times New Roman"/>
          <w:sz w:val="20"/>
          <w:szCs w:val="20"/>
        </w:rPr>
        <w:t>Prevacid</w:t>
      </w:r>
      <w:proofErr w:type="spellEnd"/>
      <w:r w:rsidRPr="00DD06F3">
        <w:rPr>
          <w:rFonts w:ascii="Times New Roman" w:hAnsi="Times New Roman"/>
          <w:sz w:val="20"/>
          <w:szCs w:val="20"/>
        </w:rPr>
        <w:t>) 15-30 mg daily, omeprazole (Prilosec) 20 mg daily and pantoprazole (</w:t>
      </w:r>
      <w:proofErr w:type="spellStart"/>
      <w:r w:rsidRPr="00DD06F3">
        <w:rPr>
          <w:rFonts w:ascii="Times New Roman" w:hAnsi="Times New Roman"/>
          <w:sz w:val="20"/>
          <w:szCs w:val="20"/>
        </w:rPr>
        <w:t>Protonix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) 40mg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daily.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96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H2-blockers are second line agents. Drugs include famotidine (Pepcid) 20mg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BID or ranitidine (Zantac</w:t>
      </w:r>
      <w:proofErr w:type="gramStart"/>
      <w:r w:rsidRPr="00DD06F3">
        <w:rPr>
          <w:rFonts w:ascii="Times New Roman" w:hAnsi="Times New Roman"/>
          <w:sz w:val="20"/>
          <w:szCs w:val="20"/>
        </w:rPr>
        <w:t>)150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mg </w:t>
      </w:r>
      <w:proofErr w:type="spellStart"/>
      <w:r w:rsidRPr="00DD06F3">
        <w:rPr>
          <w:rFonts w:ascii="Times New Roman" w:hAnsi="Times New Roman"/>
          <w:sz w:val="20"/>
          <w:szCs w:val="20"/>
        </w:rPr>
        <w:t>po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BID.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96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Cimetidine (Tagamet) should be avoided due to potential drug interactions.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XIII. Inpatient Hyperglycemia management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Blood glucose should be maintained at &lt; 150 mg/dl. Patients may be managed on insulin drip or SQ insulin. See insulin infusion protocol for more information.</w:t>
      </w:r>
      <w:r w:rsidRPr="00DD06F3">
        <w:rPr>
          <w:rFonts w:ascii="Times New Roman" w:hAnsi="Times New Roman"/>
          <w:sz w:val="20"/>
          <w:szCs w:val="20"/>
        </w:rPr>
        <w:br/>
        <w:t>b. Insulin is the preferred agent</w:t>
      </w:r>
      <w:r w:rsidRPr="00DD06F3">
        <w:rPr>
          <w:rFonts w:ascii="Times New Roman" w:hAnsi="Times New Roman"/>
          <w:sz w:val="20"/>
          <w:szCs w:val="20"/>
        </w:rPr>
        <w:br/>
        <w:t>c. Consult endocrine for difficult to manage hyperglycemia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XIV. Outpatient Hyperglycemia management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252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Oral agents are not typically recommended for the first month </w:t>
      </w:r>
      <w:proofErr w:type="spellStart"/>
      <w:r w:rsidRPr="00DD06F3">
        <w:rPr>
          <w:rFonts w:ascii="Times New Roman" w:hAnsi="Times New Roman"/>
          <w:sz w:val="20"/>
          <w:szCs w:val="20"/>
        </w:rPr>
        <w:t>post transplant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2520"/>
        <w:rPr>
          <w:rFonts w:ascii="Times New Roman" w:hAnsi="Times New Roman"/>
          <w:sz w:val="20"/>
          <w:szCs w:val="20"/>
        </w:rPr>
      </w:pPr>
      <w:proofErr w:type="gramStart"/>
      <w:r w:rsidRPr="00DD06F3">
        <w:rPr>
          <w:rFonts w:ascii="Times New Roman" w:hAnsi="Times New Roman"/>
          <w:sz w:val="20"/>
          <w:szCs w:val="20"/>
        </w:rPr>
        <w:t>Consult endocrine for difficult to manage hyperglycemia.</w:t>
      </w:r>
      <w:proofErr w:type="gramEnd"/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XV. New Onset Diabetes after Transplantation (NODAT)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a. Obtain endocrine consult.</w:t>
      </w:r>
      <w:r w:rsidRPr="00DD06F3">
        <w:rPr>
          <w:rFonts w:ascii="Times New Roman" w:hAnsi="Times New Roman"/>
          <w:sz w:val="20"/>
          <w:szCs w:val="20"/>
        </w:rPr>
        <w:br/>
        <w:t>b. Refer to the new onset diabetes after transplant (NODAT) protocol (under development)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XVI. Pain management and controlled substances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44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a. Please refer to link below for more information regarding the policy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hyperlink r:id="rId5" w:history="1">
        <w:r w:rsidRPr="00DD06F3">
          <w:rPr>
            <w:rFonts w:ascii="Calibri" w:hAnsi="Calibri" w:cs="Calibri"/>
            <w:color w:val="0000FF"/>
            <w:sz w:val="20"/>
            <w:szCs w:val="20"/>
            <w:u w:val="single"/>
          </w:rPr>
          <w:t>http://euhnotes.eushc.org/tec/tecpolcy.nsf/6a0cc13319de9f7f852569310054e7c5/b88e600f503ff7f185257b2100675cf5?OpenDocument</w:t>
        </w:r>
      </w:hyperlink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>b. Please refer to the link below for the patient agreement document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hyperlink r:id="rId6" w:history="1">
        <w:r w:rsidRPr="00DD06F3">
          <w:rPr>
            <w:rFonts w:ascii="Calibri" w:hAnsi="Calibri" w:cs="Calibri"/>
            <w:color w:val="0000FF"/>
            <w:sz w:val="20"/>
            <w:szCs w:val="20"/>
            <w:u w:val="single"/>
          </w:rPr>
          <w:t>http://euhnotes.eushc.org/tec/tecpolcy.nsf/6a0cc13319de9f7f852569310054e7c5/b88e600f503ff7f185257b2100675cf5/$FILE/PC-16%20attachment%20EHC%20TEC%20ESA%20Pain%20Agreement%2010%2023%2012%20v4.pdf</w:t>
        </w:r>
      </w:hyperlink>
      <w:r w:rsidRPr="00DD06F3">
        <w:rPr>
          <w:rFonts w:ascii="Times New Roman" w:hAnsi="Times New Roman"/>
          <w:sz w:val="20"/>
          <w:szCs w:val="20"/>
        </w:rPr>
        <w:t xml:space="preserve">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b/>
          <w:bCs/>
          <w:sz w:val="20"/>
          <w:szCs w:val="20"/>
          <w:u w:val="single"/>
        </w:rPr>
        <w:t>References</w:t>
      </w:r>
      <w:r w:rsidRPr="00DD06F3">
        <w:rPr>
          <w:rFonts w:ascii="Times New Roman" w:hAnsi="Times New Roman"/>
          <w:sz w:val="20"/>
          <w:szCs w:val="20"/>
        </w:rPr>
        <w:t xml:space="preserve">: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The Seventh Report of the Joint National Committee on Prevention, Detection, Evaluation, and Treatment of High Blood Pressure - Complete Report </w:t>
      </w:r>
      <w:hyperlink r:id="rId7" w:history="1">
        <w:r w:rsidRPr="00DD06F3">
          <w:rPr>
            <w:rFonts w:ascii="Times New Roman" w:hAnsi="Times New Roman"/>
            <w:color w:val="0000FF"/>
            <w:sz w:val="20"/>
            <w:szCs w:val="20"/>
            <w:u w:val="single"/>
          </w:rPr>
          <w:t>http://www.nhlbi.nih.gov/guidelines/hypertension/jnc7full.htm</w:t>
        </w:r>
      </w:hyperlink>
      <w:r w:rsidRPr="00DD06F3">
        <w:rPr>
          <w:rFonts w:ascii="Times New Roman" w:hAnsi="Times New Roman"/>
          <w:sz w:val="20"/>
          <w:szCs w:val="20"/>
        </w:rPr>
        <w:t xml:space="preserve"> Accessed 4.28.08.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Third Report of the Expert Panel on Detection, Evaluation, and Treatment of High Blood Cholesterol in Adults (ATP III Final Report) </w:t>
      </w:r>
      <w:hyperlink r:id="rId8" w:history="1">
        <w:r w:rsidRPr="00DD06F3">
          <w:rPr>
            <w:rFonts w:ascii="Times New Roman" w:hAnsi="Times New Roman"/>
            <w:color w:val="0000FF"/>
            <w:sz w:val="20"/>
            <w:szCs w:val="20"/>
            <w:u w:val="single"/>
          </w:rPr>
          <w:t>http://www.nhlbi.nih.gov/guidelines/cholesterol/atp3_rpt.htm</w:t>
        </w:r>
      </w:hyperlink>
      <w:r w:rsidRPr="00DD06F3">
        <w:rPr>
          <w:rFonts w:ascii="Times New Roman" w:hAnsi="Times New Roman"/>
          <w:sz w:val="20"/>
          <w:szCs w:val="20"/>
        </w:rPr>
        <w:t xml:space="preserve"> Accessed 4.28.08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Van den </w:t>
      </w:r>
      <w:proofErr w:type="spellStart"/>
      <w:r w:rsidRPr="00DD06F3">
        <w:rPr>
          <w:rFonts w:ascii="Times New Roman" w:hAnsi="Times New Roman"/>
          <w:sz w:val="20"/>
          <w:szCs w:val="20"/>
        </w:rPr>
        <w:t>Berghe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Greet, </w:t>
      </w:r>
      <w:proofErr w:type="gramStart"/>
      <w:r w:rsidRPr="00DD06F3">
        <w:rPr>
          <w:rFonts w:ascii="Times New Roman" w:hAnsi="Times New Roman"/>
          <w:sz w:val="20"/>
          <w:szCs w:val="20"/>
        </w:rPr>
        <w:t>et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D06F3">
        <w:rPr>
          <w:rFonts w:ascii="Times New Roman" w:hAnsi="Times New Roman"/>
          <w:sz w:val="20"/>
          <w:szCs w:val="20"/>
        </w:rPr>
        <w:t>Al. Intensive Insulin Therapy in Critically Ill Patients.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2001. NEJM. 345(19): 1359-1367.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Meyers B, Borrego F, </w:t>
      </w:r>
      <w:proofErr w:type="spellStart"/>
      <w:r w:rsidRPr="00DD06F3">
        <w:rPr>
          <w:rFonts w:ascii="Times New Roman" w:hAnsi="Times New Roman"/>
          <w:sz w:val="20"/>
          <w:szCs w:val="20"/>
        </w:rPr>
        <w:t>Papanicolaou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G. Pneumocystis </w:t>
      </w:r>
      <w:proofErr w:type="spellStart"/>
      <w:r w:rsidRPr="00DD06F3">
        <w:rPr>
          <w:rFonts w:ascii="Times New Roman" w:hAnsi="Times New Roman"/>
          <w:sz w:val="20"/>
          <w:szCs w:val="20"/>
        </w:rPr>
        <w:t>carinii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pneumonia prophylaxis with </w:t>
      </w:r>
      <w:proofErr w:type="spellStart"/>
      <w:r w:rsidRPr="00DD06F3">
        <w:rPr>
          <w:rFonts w:ascii="Times New Roman" w:hAnsi="Times New Roman"/>
          <w:sz w:val="20"/>
          <w:szCs w:val="20"/>
        </w:rPr>
        <w:t>atovaquone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in trimethoprim-</w:t>
      </w:r>
      <w:proofErr w:type="spellStart"/>
      <w:r w:rsidRPr="00DD06F3">
        <w:rPr>
          <w:rFonts w:ascii="Times New Roman" w:hAnsi="Times New Roman"/>
          <w:sz w:val="20"/>
          <w:szCs w:val="20"/>
        </w:rPr>
        <w:t>sulfamethoxazole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-intolerant </w:t>
      </w:r>
      <w:proofErr w:type="spellStart"/>
      <w:r w:rsidRPr="00DD06F3">
        <w:rPr>
          <w:rFonts w:ascii="Times New Roman" w:hAnsi="Times New Roman"/>
          <w:sz w:val="20"/>
          <w:szCs w:val="20"/>
        </w:rPr>
        <w:t>orthotopic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liver transplant patients: a preliminary study. </w:t>
      </w:r>
      <w:proofErr w:type="gramStart"/>
      <w:r w:rsidRPr="00DD06F3">
        <w:rPr>
          <w:rFonts w:ascii="Times New Roman" w:hAnsi="Times New Roman"/>
          <w:sz w:val="20"/>
          <w:szCs w:val="20"/>
        </w:rPr>
        <w:t>Liver Transplant.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2001</w:t>
      </w:r>
      <w:proofErr w:type="gramStart"/>
      <w:r w:rsidRPr="00DD06F3">
        <w:rPr>
          <w:rFonts w:ascii="Times New Roman" w:hAnsi="Times New Roman"/>
          <w:sz w:val="20"/>
          <w:szCs w:val="20"/>
        </w:rPr>
        <w:t>;7:750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-751.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proofErr w:type="spellStart"/>
      <w:r w:rsidRPr="00DD06F3">
        <w:rPr>
          <w:rFonts w:ascii="Times New Roman" w:hAnsi="Times New Roman"/>
          <w:sz w:val="20"/>
          <w:szCs w:val="20"/>
        </w:rPr>
        <w:t>Levitsky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J, </w:t>
      </w:r>
      <w:proofErr w:type="gramStart"/>
      <w:r w:rsidRPr="00DD06F3">
        <w:rPr>
          <w:rFonts w:ascii="Times New Roman" w:hAnsi="Times New Roman"/>
          <w:sz w:val="20"/>
          <w:szCs w:val="20"/>
        </w:rPr>
        <w:t>et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. Al. </w:t>
      </w:r>
      <w:proofErr w:type="gramStart"/>
      <w:r w:rsidRPr="00DD06F3">
        <w:rPr>
          <w:rFonts w:ascii="Times New Roman" w:hAnsi="Times New Roman"/>
          <w:sz w:val="20"/>
          <w:szCs w:val="20"/>
        </w:rPr>
        <w:t>A Survey of CMV Prevention Strategies after Liver Transplant.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D06F3">
        <w:rPr>
          <w:rFonts w:ascii="Times New Roman" w:hAnsi="Times New Roman"/>
          <w:sz w:val="20"/>
          <w:szCs w:val="20"/>
        </w:rPr>
        <w:t xml:space="preserve">American J </w:t>
      </w:r>
      <w:proofErr w:type="spellStart"/>
      <w:r w:rsidRPr="00DD06F3">
        <w:rPr>
          <w:rFonts w:ascii="Times New Roman" w:hAnsi="Times New Roman"/>
          <w:sz w:val="20"/>
          <w:szCs w:val="20"/>
        </w:rPr>
        <w:t>Transpl</w:t>
      </w:r>
      <w:proofErr w:type="spellEnd"/>
      <w:r w:rsidRPr="00DD06F3">
        <w:rPr>
          <w:rFonts w:ascii="Times New Roman" w:hAnsi="Times New Roman"/>
          <w:sz w:val="20"/>
          <w:szCs w:val="20"/>
        </w:rPr>
        <w:t>.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2008</w:t>
      </w:r>
      <w:proofErr w:type="gramStart"/>
      <w:r w:rsidRPr="00DD06F3">
        <w:rPr>
          <w:rFonts w:ascii="Times New Roman" w:hAnsi="Times New Roman"/>
          <w:sz w:val="20"/>
          <w:szCs w:val="20"/>
        </w:rPr>
        <w:t>;8:158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-161. </w:t>
      </w:r>
    </w:p>
    <w:p w:rsidR="00DD06F3" w:rsidRPr="00DD06F3" w:rsidRDefault="00DD06F3" w:rsidP="00DD06F3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06F3">
        <w:rPr>
          <w:rFonts w:ascii="Times New Roman" w:hAnsi="Times New Roman"/>
          <w:sz w:val="20"/>
          <w:szCs w:val="20"/>
        </w:rPr>
        <w:t xml:space="preserve">Green H, </w:t>
      </w:r>
      <w:proofErr w:type="gramStart"/>
      <w:r w:rsidRPr="00DD06F3">
        <w:rPr>
          <w:rFonts w:ascii="Times New Roman" w:hAnsi="Times New Roman"/>
          <w:sz w:val="20"/>
          <w:szCs w:val="20"/>
        </w:rPr>
        <w:t>et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. Al. Prophylaxis of Pneumocystis Pneumonia in Immunocompromised Non–HIV-Infected Patients: Systematic Review and Meta-analysis of Randomized controlled Trials. Mayo Clinic </w:t>
      </w:r>
      <w:proofErr w:type="spellStart"/>
      <w:r w:rsidRPr="00DD06F3">
        <w:rPr>
          <w:rFonts w:ascii="Times New Roman" w:hAnsi="Times New Roman"/>
          <w:sz w:val="20"/>
          <w:szCs w:val="20"/>
        </w:rPr>
        <w:t>Proc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 2007; 82(9): 1052-1059.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br/>
      </w:r>
      <w:proofErr w:type="spellStart"/>
      <w:r w:rsidRPr="00DD06F3">
        <w:rPr>
          <w:rFonts w:ascii="Times New Roman" w:hAnsi="Times New Roman"/>
          <w:sz w:val="20"/>
          <w:szCs w:val="20"/>
        </w:rPr>
        <w:t>Bratzler</w:t>
      </w:r>
      <w:proofErr w:type="spellEnd"/>
      <w:r w:rsidRPr="00DD06F3">
        <w:rPr>
          <w:rFonts w:ascii="Times New Roman" w:hAnsi="Times New Roman"/>
          <w:sz w:val="20"/>
          <w:szCs w:val="20"/>
        </w:rPr>
        <w:t xml:space="preserve">, DW </w:t>
      </w:r>
      <w:proofErr w:type="gramStart"/>
      <w:r w:rsidRPr="00DD06F3">
        <w:rPr>
          <w:rFonts w:ascii="Times New Roman" w:hAnsi="Times New Roman"/>
          <w:sz w:val="20"/>
          <w:szCs w:val="20"/>
        </w:rPr>
        <w:t>et</w:t>
      </w:r>
      <w:proofErr w:type="gramEnd"/>
      <w:r w:rsidRPr="00DD06F3">
        <w:rPr>
          <w:rFonts w:ascii="Times New Roman" w:hAnsi="Times New Roman"/>
          <w:sz w:val="20"/>
          <w:szCs w:val="20"/>
        </w:rPr>
        <w:t>. Al. Antimicrobial Prophylaxis for Surgery: An Advisory Statement from the National Surgical Infection Prevention Project. CID. 2004</w:t>
      </w:r>
      <w:proofErr w:type="gramStart"/>
      <w:r w:rsidRPr="00DD06F3">
        <w:rPr>
          <w:rFonts w:ascii="Times New Roman" w:hAnsi="Times New Roman"/>
          <w:sz w:val="20"/>
          <w:szCs w:val="20"/>
        </w:rPr>
        <w:t>;38</w:t>
      </w:r>
      <w:proofErr w:type="gramEnd"/>
      <w:r w:rsidRPr="00DD06F3">
        <w:rPr>
          <w:rFonts w:ascii="Times New Roman" w:hAnsi="Times New Roman"/>
          <w:sz w:val="20"/>
          <w:szCs w:val="20"/>
        </w:rPr>
        <w:t>: 1706-1715.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lastRenderedPageBreak/>
        <w:br/>
        <w:t xml:space="preserve">Winston DJ, </w:t>
      </w:r>
      <w:proofErr w:type="gramStart"/>
      <w:r w:rsidRPr="00DD06F3">
        <w:rPr>
          <w:rFonts w:ascii="Times New Roman" w:hAnsi="Times New Roman"/>
          <w:sz w:val="20"/>
          <w:szCs w:val="20"/>
        </w:rPr>
        <w:t>et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D06F3">
        <w:rPr>
          <w:rFonts w:ascii="Times New Roman" w:hAnsi="Times New Roman"/>
          <w:sz w:val="20"/>
          <w:szCs w:val="20"/>
        </w:rPr>
        <w:t>Al. Prophylactic fluconazole in liver transplant recipients.</w:t>
      </w:r>
      <w:proofErr w:type="gramEnd"/>
      <w:r w:rsidRPr="00DD06F3">
        <w:rPr>
          <w:rFonts w:ascii="Times New Roman" w:hAnsi="Times New Roman"/>
          <w:sz w:val="20"/>
          <w:szCs w:val="20"/>
        </w:rPr>
        <w:t xml:space="preserve"> An Intern Med. 1999</w:t>
      </w:r>
      <w:proofErr w:type="gramStart"/>
      <w:r w:rsidRPr="00DD06F3">
        <w:rPr>
          <w:rFonts w:ascii="Times New Roman" w:hAnsi="Times New Roman"/>
          <w:sz w:val="20"/>
          <w:szCs w:val="20"/>
        </w:rPr>
        <w:t>;131</w:t>
      </w:r>
      <w:proofErr w:type="gramEnd"/>
      <w:r w:rsidRPr="00DD06F3">
        <w:rPr>
          <w:rFonts w:ascii="Times New Roman" w:hAnsi="Times New Roman"/>
          <w:sz w:val="20"/>
          <w:szCs w:val="20"/>
        </w:rPr>
        <w:t>: 729-737.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br/>
        <w:t>Approved by: Liver Transplant Leadership Group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br/>
        <w:t>__________________________________</w:t>
      </w:r>
      <w:r w:rsidRPr="00DD06F3">
        <w:rPr>
          <w:rFonts w:ascii="Times New Roman" w:hAnsi="Times New Roman"/>
          <w:sz w:val="20"/>
          <w:szCs w:val="20"/>
        </w:rPr>
        <w:br/>
        <w:t xml:space="preserve">Stuart J. </w:t>
      </w:r>
      <w:proofErr w:type="spellStart"/>
      <w:r w:rsidRPr="00DD06F3">
        <w:rPr>
          <w:rFonts w:ascii="Times New Roman" w:hAnsi="Times New Roman"/>
          <w:sz w:val="20"/>
          <w:szCs w:val="20"/>
        </w:rPr>
        <w:t>Knechtle</w:t>
      </w:r>
      <w:proofErr w:type="spellEnd"/>
      <w:r w:rsidRPr="00DD06F3">
        <w:rPr>
          <w:rFonts w:ascii="Times New Roman" w:hAnsi="Times New Roman"/>
          <w:sz w:val="20"/>
          <w:szCs w:val="20"/>
        </w:rPr>
        <w:t>, M.D</w:t>
      </w:r>
      <w:proofErr w:type="gramStart"/>
      <w:r w:rsidRPr="00DD06F3">
        <w:rPr>
          <w:rFonts w:ascii="Times New Roman" w:hAnsi="Times New Roman"/>
          <w:sz w:val="20"/>
          <w:szCs w:val="20"/>
        </w:rPr>
        <w:t>.</w:t>
      </w:r>
      <w:proofErr w:type="gramEnd"/>
      <w:r w:rsidRPr="00DD06F3">
        <w:rPr>
          <w:rFonts w:ascii="Times New Roman" w:hAnsi="Times New Roman"/>
          <w:sz w:val="20"/>
          <w:szCs w:val="20"/>
        </w:rPr>
        <w:br/>
        <w:t>Chair, Liver Transplant Leadership Group</w:t>
      </w:r>
      <w:r w:rsidRPr="00DD06F3">
        <w:rPr>
          <w:rFonts w:ascii="Times New Roman" w:hAnsi="Times New Roman"/>
          <w:sz w:val="20"/>
          <w:szCs w:val="20"/>
        </w:rPr>
        <w:br/>
        <w:t>Director, Liver Transplant Program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br/>
        <w:t xml:space="preserve">____________________________________ </w:t>
      </w:r>
      <w:r w:rsidRPr="00DD06F3">
        <w:rPr>
          <w:rFonts w:ascii="Times New Roman" w:hAnsi="Times New Roman"/>
          <w:sz w:val="20"/>
          <w:szCs w:val="20"/>
        </w:rPr>
        <w:br/>
        <w:t>James Spivey, MD</w:t>
      </w:r>
      <w:r w:rsidRPr="00DD06F3">
        <w:rPr>
          <w:rFonts w:ascii="Times New Roman" w:hAnsi="Times New Roman"/>
          <w:sz w:val="20"/>
          <w:szCs w:val="20"/>
        </w:rPr>
        <w:br/>
        <w:t>Medical Director, Liver Transplant Program</w:t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br/>
      </w:r>
      <w:r w:rsidRPr="00DD06F3">
        <w:rPr>
          <w:rFonts w:ascii="Times New Roman" w:hAnsi="Times New Roman"/>
          <w:sz w:val="20"/>
          <w:szCs w:val="20"/>
        </w:rPr>
        <w:br/>
        <w:t xml:space="preserve">Updated: 8/27/09, 1/24/2011, 1/13/2012, 3/8/13 </w:t>
      </w:r>
    </w:p>
    <w:p w:rsidR="00D35E10" w:rsidRPr="00DD06F3" w:rsidRDefault="00D35E10">
      <w:pPr>
        <w:rPr>
          <w:sz w:val="20"/>
          <w:szCs w:val="20"/>
        </w:rPr>
      </w:pPr>
    </w:p>
    <w:sectPr w:rsidR="00D35E10" w:rsidRPr="00DD06F3" w:rsidSect="0070760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F3"/>
    <w:rsid w:val="00125FA6"/>
    <w:rsid w:val="00D35E10"/>
    <w:rsid w:val="00D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  <w:style w:type="character" w:styleId="Hyperlink">
    <w:name w:val="Hyperlink"/>
    <w:basedOn w:val="DefaultParagraphFont"/>
    <w:uiPriority w:val="99"/>
    <w:rsid w:val="00DD0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  <w:style w:type="character" w:styleId="Hyperlink">
    <w:name w:val="Hyperlink"/>
    <w:basedOn w:val="DefaultParagraphFont"/>
    <w:uiPriority w:val="99"/>
    <w:rsid w:val="00DD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bi.nih.gov/guidelines/cholesterol/atp3_rp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lbi.nih.gov/guidelines/hypertension/jnc7full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hnotes.eushc.org/tec/tecpolcy.nsf/6a0cc13319de9f7f852569310054e7c5/b88e600f503ff7f185257b2100675cf5/$FILE/PC-16%20attachment%20EHC%20TEC%20ESA%20Pain%20Agreement%2010%2023%2012%20v4.pdf-" TargetMode="External"/><Relationship Id="rId5" Type="http://schemas.openxmlformats.org/officeDocument/2006/relationships/hyperlink" Target="http://euhnotes.eushc.org/tec/tecpolcy.nsf/6a0cc13319de9f7f852569310054e7c5/b88e600f503ff7f185257b2100675cf5?OpenDocument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H. Kitchens</dc:creator>
  <cp:lastModifiedBy>William H. Kitchens</cp:lastModifiedBy>
  <cp:revision>1</cp:revision>
  <dcterms:created xsi:type="dcterms:W3CDTF">2014-11-06T04:31:00Z</dcterms:created>
  <dcterms:modified xsi:type="dcterms:W3CDTF">2014-11-06T04:32:00Z</dcterms:modified>
</cp:coreProperties>
</file>