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10EA" w14:textId="77777777" w:rsidR="00A072EC" w:rsidRDefault="00A072EC" w:rsidP="002D4626">
      <w:pPr>
        <w:rPr>
          <w:bCs/>
          <w:color w:val="000000"/>
        </w:rPr>
      </w:pPr>
    </w:p>
    <w:p w14:paraId="7D0894EE" w14:textId="77777777" w:rsidR="00A072EC" w:rsidRDefault="00A072EC" w:rsidP="002D4626">
      <w:pPr>
        <w:rPr>
          <w:bCs/>
          <w:color w:val="000000"/>
        </w:rPr>
      </w:pPr>
    </w:p>
    <w:p w14:paraId="4D4669F1" w14:textId="77777777" w:rsidR="00A072EC" w:rsidRDefault="00A072EC" w:rsidP="002D4626">
      <w:pPr>
        <w:rPr>
          <w:bCs/>
          <w:color w:val="000000"/>
        </w:rPr>
      </w:pPr>
    </w:p>
    <w:p w14:paraId="215B2994" w14:textId="77777777" w:rsidR="00A072EC" w:rsidRDefault="00A072EC" w:rsidP="002D4626">
      <w:pPr>
        <w:rPr>
          <w:bCs/>
          <w:color w:val="000000"/>
        </w:rPr>
      </w:pPr>
    </w:p>
    <w:p w14:paraId="4156E33D" w14:textId="77777777" w:rsidR="00A072EC" w:rsidRDefault="00A072EC" w:rsidP="002D4626">
      <w:pPr>
        <w:rPr>
          <w:bCs/>
          <w:color w:val="000000"/>
        </w:rPr>
      </w:pPr>
    </w:p>
    <w:p w14:paraId="3D587826" w14:textId="77777777" w:rsidR="00A072EC" w:rsidRDefault="00A072EC" w:rsidP="002D4626">
      <w:pPr>
        <w:rPr>
          <w:bCs/>
          <w:color w:val="000000"/>
        </w:rPr>
      </w:pPr>
    </w:p>
    <w:p w14:paraId="06060D3E" w14:textId="77777777" w:rsidR="00A072EC" w:rsidRDefault="00A072EC" w:rsidP="002D4626">
      <w:pPr>
        <w:rPr>
          <w:bCs/>
          <w:color w:val="000000"/>
        </w:rPr>
      </w:pPr>
    </w:p>
    <w:p w14:paraId="3BA61C27" w14:textId="77777777" w:rsidR="00CF74FE" w:rsidRDefault="00CF74FE" w:rsidP="002D4626">
      <w:pPr>
        <w:rPr>
          <w:bCs/>
          <w:color w:val="000080"/>
        </w:rPr>
      </w:pPr>
    </w:p>
    <w:p w14:paraId="3E4C08D0" w14:textId="4E4BFEBF" w:rsidR="002D4626" w:rsidRPr="00EC2D1E" w:rsidRDefault="002D4626" w:rsidP="002D4626">
      <w:r w:rsidRPr="00A072EC">
        <w:rPr>
          <w:bCs/>
          <w:color w:val="000080"/>
        </w:rPr>
        <w:t>Policy:</w:t>
      </w:r>
      <w:r w:rsidRPr="00EC2D1E">
        <w:rPr>
          <w:bCs/>
          <w:color w:val="000000"/>
        </w:rPr>
        <w:t xml:space="preserve"> </w:t>
      </w:r>
      <w:r w:rsidR="00980BEA">
        <w:rPr>
          <w:bCs/>
          <w:color w:val="000000"/>
        </w:rPr>
        <w:t>Liver/Kidney</w:t>
      </w:r>
      <w:r w:rsidRPr="00EC2D1E">
        <w:rPr>
          <w:bCs/>
          <w:color w:val="000000"/>
        </w:rPr>
        <w:t xml:space="preserve"> Transplant: </w:t>
      </w:r>
      <w:r w:rsidR="00980BEA">
        <w:rPr>
          <w:bCs/>
          <w:color w:val="000000"/>
        </w:rPr>
        <w:t>Patient Management P</w:t>
      </w:r>
      <w:r w:rsidRPr="00EC2D1E">
        <w:rPr>
          <w:bCs/>
          <w:color w:val="000000"/>
        </w:rPr>
        <w:t>rotocol</w:t>
      </w:r>
      <w:r w:rsidRPr="00EC2D1E">
        <w:rPr>
          <w:color w:val="000000"/>
        </w:rPr>
        <w:br/>
      </w:r>
      <w:bookmarkStart w:id="0" w:name="_GoBack"/>
      <w:bookmarkEnd w:id="0"/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Vision Strategy: </w:t>
      </w:r>
      <w:r w:rsidRPr="00EC2D1E">
        <w:rPr>
          <w:color w:val="000000"/>
        </w:rPr>
        <w:t>Patient Care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Policy Statement: </w:t>
      </w:r>
      <w:r w:rsidRPr="00EC2D1E">
        <w:rPr>
          <w:color w:val="000000"/>
        </w:rPr>
        <w:t>The Emory Transplant Center and all the solid organ transplant programs will comply with all applicable federal, state, and local laws, regulations, policies and protocols regarding the man</w:t>
      </w:r>
      <w:r w:rsidR="00AB30C2">
        <w:rPr>
          <w:color w:val="000000"/>
        </w:rPr>
        <w:t>agement of transplant patients.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Basis: </w:t>
      </w:r>
      <w:r w:rsidRPr="00EC2D1E">
        <w:rPr>
          <w:color w:val="000000"/>
        </w:rPr>
        <w:t>This protocol is necessary for the protection of patients, physicians and staff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Admin Responsibility: </w:t>
      </w:r>
      <w:r w:rsidRPr="00EC2D1E">
        <w:rPr>
          <w:color w:val="000000"/>
        </w:rPr>
        <w:t>All transplant program physicians, practitioners and clinical staff members are responsible for compliance with this clinical protocol.</w:t>
      </w:r>
    </w:p>
    <w:p w14:paraId="05FAFA71" w14:textId="77777777" w:rsidR="00D82ADA" w:rsidRPr="00EC2D1E" w:rsidRDefault="00D82ADA" w:rsidP="00D82ADA"/>
    <w:tbl>
      <w:tblPr>
        <w:tblStyle w:val="TableGrid"/>
        <w:tblpPr w:leftFromText="180" w:rightFromText="180" w:vertAnchor="page" w:horzAnchor="margin" w:tblpY="1742"/>
        <w:tblW w:w="13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511"/>
        <w:gridCol w:w="6143"/>
      </w:tblGrid>
      <w:tr w:rsidR="00576F37" w:rsidRPr="00EC71ED" w14:paraId="5FD2F6B8" w14:textId="77777777" w:rsidTr="00CF74FE">
        <w:trPr>
          <w:trHeight w:val="771"/>
        </w:trPr>
        <w:tc>
          <w:tcPr>
            <w:tcW w:w="13654" w:type="dxa"/>
            <w:gridSpan w:val="2"/>
            <w:tcBorders>
              <w:bottom w:val="single" w:sz="4" w:space="0" w:color="auto"/>
            </w:tcBorders>
          </w:tcPr>
          <w:p w14:paraId="08668397" w14:textId="7060F168" w:rsidR="00576F37" w:rsidRPr="00EC71ED" w:rsidRDefault="00576F37" w:rsidP="00980BEA">
            <w:pPr>
              <w:spacing w:before="60"/>
            </w:pPr>
            <w:r w:rsidRPr="00EC71ED">
              <w:rPr>
                <w:b/>
              </w:rPr>
              <w:t>TITLE:</w:t>
            </w:r>
            <w:r w:rsidRPr="00EC71ED">
              <w:t xml:space="preserve"> </w:t>
            </w:r>
            <w:r w:rsidR="00980BEA">
              <w:rPr>
                <w:b/>
              </w:rPr>
              <w:t>Liver/Kidney</w:t>
            </w:r>
            <w:r w:rsidR="002D4626" w:rsidRPr="00EC71ED">
              <w:rPr>
                <w:b/>
              </w:rPr>
              <w:t xml:space="preserve"> Protocol</w:t>
            </w:r>
          </w:p>
        </w:tc>
      </w:tr>
      <w:tr w:rsidR="00576F37" w:rsidRPr="00EC71ED" w14:paraId="6584DB14" w14:textId="77777777" w:rsidTr="00CF74FE">
        <w:trPr>
          <w:trHeight w:val="771"/>
        </w:trPr>
        <w:tc>
          <w:tcPr>
            <w:tcW w:w="13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FD9E5" w14:textId="77777777" w:rsidR="00576F37" w:rsidRPr="00EC71ED" w:rsidRDefault="00576F37" w:rsidP="00D877F7">
            <w:pPr>
              <w:spacing w:before="60"/>
            </w:pPr>
            <w:r w:rsidRPr="00EC71ED">
              <w:rPr>
                <w:b/>
              </w:rPr>
              <w:t>APPLICABLE FACILITIES:</w:t>
            </w:r>
            <w:r w:rsidRPr="00EC71ED">
              <w:t xml:space="preserve"> </w:t>
            </w:r>
            <w:r w:rsidR="001F67AA" w:rsidRPr="00EC71ED">
              <w:t>(check</w:t>
            </w:r>
            <w:r w:rsidR="00F444B1" w:rsidRPr="00EC71ED">
              <w:t xml:space="preserve"> all that apply)</w:t>
            </w:r>
          </w:p>
          <w:p w14:paraId="0166F2FF" w14:textId="77777777" w:rsidR="00F444B1" w:rsidRPr="00EC71ED" w:rsidRDefault="001F67AA" w:rsidP="001F67AA">
            <w:pPr>
              <w:spacing w:before="60"/>
              <w:jc w:val="center"/>
            </w:pPr>
            <w:r w:rsidRPr="00EC71ED">
              <w:t>□</w:t>
            </w:r>
            <w:r w:rsidR="00CD0BC0" w:rsidRPr="00EC71ED">
              <w:t xml:space="preserve">EUH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rPr>
                <w:b/>
              </w:rPr>
              <w:t>□</w:t>
            </w:r>
            <w:r w:rsidR="00CD0BC0" w:rsidRPr="00EC71ED">
              <w:t xml:space="preserve">EUOSH  </w:t>
            </w:r>
            <w:r w:rsidR="00F444B1" w:rsidRPr="00EC71ED">
              <w:t xml:space="preserve"> </w:t>
            </w:r>
            <w:r w:rsidR="00CD0BC0" w:rsidRPr="00EC71ED">
              <w:t xml:space="preserve"> </w:t>
            </w:r>
            <w:r w:rsidRPr="00EC71ED">
              <w:t>□</w:t>
            </w:r>
            <w:r w:rsidR="00CD0BC0" w:rsidRPr="00EC71ED">
              <w:t xml:space="preserve">EWWH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t>□</w:t>
            </w:r>
            <w:r w:rsidR="00CD0BC0" w:rsidRPr="00EC71ED">
              <w:t xml:space="preserve">EUHM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t>□</w:t>
            </w:r>
            <w:r w:rsidR="00CD0BC0" w:rsidRPr="00EC71ED">
              <w:t xml:space="preserve">EJCH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t>□</w:t>
            </w:r>
            <w:r w:rsidR="00CD0BC0" w:rsidRPr="00EC71ED">
              <w:t>ESJH</w:t>
            </w:r>
            <w:r w:rsidR="00F444B1" w:rsidRPr="00EC71ED">
              <w:t xml:space="preserve"> </w:t>
            </w:r>
            <w:r w:rsidR="00CD0BC0" w:rsidRPr="00EC71ED">
              <w:t xml:space="preserve">   </w:t>
            </w:r>
            <w:r w:rsidRPr="00EC71ED">
              <w:t>□</w:t>
            </w:r>
            <w:r w:rsidR="00CD0BC0" w:rsidRPr="00EC71ED">
              <w:t xml:space="preserve">TEC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t>□</w:t>
            </w:r>
            <w:r w:rsidR="00CD0BC0" w:rsidRPr="00EC71ED">
              <w:t xml:space="preserve">ESA </w:t>
            </w:r>
            <w:r w:rsidR="00F444B1" w:rsidRPr="00EC71ED">
              <w:t xml:space="preserve"> </w:t>
            </w:r>
            <w:r w:rsidR="00CD0BC0" w:rsidRPr="00EC71ED">
              <w:t xml:space="preserve">  </w:t>
            </w:r>
            <w:r w:rsidRPr="00EC71ED">
              <w:t>□</w:t>
            </w:r>
            <w:r w:rsidR="00F444B1" w:rsidRPr="00EC71ED">
              <w:t>ERH</w:t>
            </w:r>
          </w:p>
        </w:tc>
      </w:tr>
      <w:tr w:rsidR="00A96893" w:rsidRPr="00EC71ED" w14:paraId="7BD3F73C" w14:textId="77777777" w:rsidTr="00CF74FE">
        <w:trPr>
          <w:trHeight w:val="395"/>
        </w:trPr>
        <w:tc>
          <w:tcPr>
            <w:tcW w:w="7511" w:type="dxa"/>
            <w:tcBorders>
              <w:top w:val="single" w:sz="4" w:space="0" w:color="auto"/>
              <w:bottom w:val="double" w:sz="4" w:space="0" w:color="auto"/>
            </w:tcBorders>
          </w:tcPr>
          <w:p w14:paraId="34D5822F" w14:textId="77777777" w:rsidR="00A96893" w:rsidRPr="00EC71ED" w:rsidRDefault="00A96893" w:rsidP="00D877F7">
            <w:pPr>
              <w:spacing w:before="60" w:after="20"/>
            </w:pPr>
            <w:r w:rsidRPr="00EC71ED">
              <w:rPr>
                <w:b/>
              </w:rPr>
              <w:t>EFFECTIVE DATE:</w:t>
            </w:r>
            <w:r w:rsidRPr="00EC71ED">
              <w:t xml:space="preserve"> </w:t>
            </w:r>
          </w:p>
        </w:tc>
        <w:tc>
          <w:tcPr>
            <w:tcW w:w="6142" w:type="dxa"/>
            <w:tcBorders>
              <w:top w:val="single" w:sz="4" w:space="0" w:color="auto"/>
              <w:bottom w:val="double" w:sz="4" w:space="0" w:color="auto"/>
            </w:tcBorders>
          </w:tcPr>
          <w:p w14:paraId="7DF003F0" w14:textId="77777777" w:rsidR="00A96893" w:rsidRPr="00EC71ED" w:rsidRDefault="00A96893" w:rsidP="00D877F7">
            <w:pPr>
              <w:spacing w:before="60" w:after="20"/>
            </w:pPr>
            <w:r w:rsidRPr="00EC71ED">
              <w:rPr>
                <w:b/>
              </w:rPr>
              <w:t>ORIGINATION DATE:</w:t>
            </w:r>
            <w:r w:rsidRPr="00EC71ED">
              <w:t xml:space="preserve"> </w:t>
            </w:r>
          </w:p>
        </w:tc>
      </w:tr>
    </w:tbl>
    <w:p w14:paraId="0DC0AC1D" w14:textId="77777777" w:rsidR="00A973EE" w:rsidRPr="00EC71ED" w:rsidRDefault="00A973EE" w:rsidP="00D82ADA"/>
    <w:p w14:paraId="33979CFE" w14:textId="4134727F" w:rsidR="00D82ADA" w:rsidRPr="00EC71ED" w:rsidRDefault="00D82ADA" w:rsidP="00D82ADA">
      <w:r w:rsidRPr="00EC71ED">
        <w:rPr>
          <w:b/>
          <w:u w:val="single"/>
        </w:rPr>
        <w:t>SCOPE</w:t>
      </w:r>
      <w:r w:rsidR="0019168D" w:rsidRPr="00EC71ED">
        <w:rPr>
          <w:b/>
          <w:u w:val="single"/>
        </w:rPr>
        <w:t>:</w:t>
      </w:r>
      <w:r w:rsidR="0019168D" w:rsidRPr="00EC71ED">
        <w:t xml:space="preserve"> </w:t>
      </w:r>
      <w:r w:rsidR="00627FB3">
        <w:t xml:space="preserve">Liver/Kidney </w:t>
      </w:r>
      <w:r w:rsidR="006647F4">
        <w:t>Post Transplant patient management</w:t>
      </w:r>
      <w:r w:rsidR="00980BEA">
        <w:t xml:space="preserve"> </w:t>
      </w:r>
    </w:p>
    <w:p w14:paraId="5D795F9D" w14:textId="77777777" w:rsidR="00637554" w:rsidRPr="00EC71ED" w:rsidRDefault="00637554" w:rsidP="00D82ADA"/>
    <w:p w14:paraId="1455F470" w14:textId="78A06FD9" w:rsidR="00D82ADA" w:rsidRPr="00EC71ED" w:rsidRDefault="00D82ADA" w:rsidP="00D82ADA">
      <w:r w:rsidRPr="00EC71ED">
        <w:rPr>
          <w:b/>
          <w:u w:val="single"/>
        </w:rPr>
        <w:t>PURPOSE</w:t>
      </w:r>
      <w:r w:rsidR="0019168D" w:rsidRPr="00EC71ED">
        <w:rPr>
          <w:b/>
          <w:u w:val="single"/>
        </w:rPr>
        <w:t>:</w:t>
      </w:r>
      <w:r w:rsidR="00627FB3" w:rsidRPr="00627FB3">
        <w:t xml:space="preserve"> </w:t>
      </w:r>
      <w:r w:rsidR="00627FB3" w:rsidRPr="00EC71ED">
        <w:t xml:space="preserve">The purpose of </w:t>
      </w:r>
      <w:r w:rsidR="00627FB3">
        <w:t>this</w:t>
      </w:r>
      <w:r w:rsidR="00627FB3" w:rsidRPr="00EC71ED">
        <w:t xml:space="preserve"> protocol is to standardize patient management </w:t>
      </w:r>
      <w:r w:rsidR="00627FB3">
        <w:t>for l</w:t>
      </w:r>
      <w:r w:rsidR="00A30803">
        <w:t>iver/kidney transplant patients post transplantation.</w:t>
      </w:r>
    </w:p>
    <w:p w14:paraId="4D6A4196" w14:textId="77777777" w:rsidR="005E6157" w:rsidRPr="00EC71ED" w:rsidRDefault="005E6157" w:rsidP="00D82ADA"/>
    <w:p w14:paraId="0062EBCA" w14:textId="77777777" w:rsidR="00D82ADA" w:rsidRDefault="00D82ADA" w:rsidP="00D82ADA">
      <w:r w:rsidRPr="00EC71ED">
        <w:rPr>
          <w:b/>
          <w:u w:val="single"/>
        </w:rPr>
        <w:t>PROCEDURE</w:t>
      </w:r>
      <w:r w:rsidR="0019168D" w:rsidRPr="00EC71ED">
        <w:rPr>
          <w:b/>
        </w:rPr>
        <w:t>:</w:t>
      </w:r>
      <w:r w:rsidRPr="00EC71ED">
        <w:t xml:space="preserve"> </w:t>
      </w:r>
    </w:p>
    <w:p w14:paraId="2AB82BE7" w14:textId="016AF25C" w:rsidR="006647F4" w:rsidRDefault="00A072EC" w:rsidP="006647F4">
      <w:pPr>
        <w:pStyle w:val="ListParagraph"/>
        <w:numPr>
          <w:ilvl w:val="0"/>
          <w:numId w:val="15"/>
        </w:numPr>
      </w:pPr>
      <w:r>
        <w:t>Define the</w:t>
      </w:r>
      <w:r w:rsidR="006647F4">
        <w:t xml:space="preserve"> patient</w:t>
      </w:r>
      <w:r>
        <w:t>’</w:t>
      </w:r>
      <w:r w:rsidR="006647F4">
        <w:t>s primary nephrologist</w:t>
      </w:r>
    </w:p>
    <w:p w14:paraId="7679090B" w14:textId="7FE77BB6" w:rsidR="006647F4" w:rsidRDefault="00C34CBD" w:rsidP="00CF74FE">
      <w:pPr>
        <w:pStyle w:val="ListParagraph"/>
        <w:numPr>
          <w:ilvl w:val="1"/>
          <w:numId w:val="15"/>
        </w:numPr>
      </w:pPr>
      <w:r>
        <w:t xml:space="preserve">Transplant </w:t>
      </w:r>
      <w:r w:rsidR="006647F4">
        <w:t>Nephrologist at the time of hospital discharge</w:t>
      </w:r>
    </w:p>
    <w:p w14:paraId="1C5CD9D1" w14:textId="77777777" w:rsidR="006647F4" w:rsidRDefault="006647F4" w:rsidP="00C34CBD">
      <w:pPr>
        <w:pStyle w:val="ListParagraph"/>
        <w:numPr>
          <w:ilvl w:val="2"/>
          <w:numId w:val="15"/>
        </w:numPr>
      </w:pPr>
      <w:r>
        <w:t>Liver inpatient coordinator enters information in the transplant page</w:t>
      </w:r>
    </w:p>
    <w:p w14:paraId="02668027" w14:textId="77777777" w:rsidR="00574E41" w:rsidRDefault="00A30803" w:rsidP="006647F4">
      <w:pPr>
        <w:pStyle w:val="ListParagraph"/>
        <w:numPr>
          <w:ilvl w:val="0"/>
          <w:numId w:val="15"/>
        </w:numPr>
      </w:pPr>
      <w:r>
        <w:t>Ureteral stent-schedule appointment</w:t>
      </w:r>
      <w:r w:rsidR="00602179">
        <w:t xml:space="preserve"> for removal within first 4-6</w:t>
      </w:r>
      <w:r w:rsidR="006647F4">
        <w:t xml:space="preserve"> weeks post transplant</w:t>
      </w:r>
      <w:r>
        <w:t>ation with urology</w:t>
      </w:r>
    </w:p>
    <w:p w14:paraId="311CF347" w14:textId="244C9211" w:rsidR="006647F4" w:rsidRDefault="00574E41" w:rsidP="00574E41">
      <w:pPr>
        <w:pStyle w:val="ListParagraph"/>
        <w:numPr>
          <w:ilvl w:val="1"/>
          <w:numId w:val="15"/>
        </w:numPr>
      </w:pPr>
      <w:r>
        <w:t xml:space="preserve"> Inpatient coordinator to schedule with urology</w:t>
      </w:r>
    </w:p>
    <w:p w14:paraId="15B95C4C" w14:textId="77777777" w:rsidR="006647F4" w:rsidRDefault="006647F4" w:rsidP="006647F4">
      <w:pPr>
        <w:pStyle w:val="ListParagraph"/>
        <w:numPr>
          <w:ilvl w:val="0"/>
          <w:numId w:val="15"/>
        </w:numPr>
      </w:pPr>
      <w:r>
        <w:t>Lab-TIMED ORDER SET-Outpatient post renal transplant weeks 1-10 lab orders</w:t>
      </w:r>
    </w:p>
    <w:p w14:paraId="03168F61" w14:textId="19498C6C" w:rsidR="006647F4" w:rsidRDefault="00E076A6" w:rsidP="006647F4">
      <w:pPr>
        <w:pStyle w:val="ListParagraph"/>
        <w:numPr>
          <w:ilvl w:val="1"/>
          <w:numId w:val="15"/>
        </w:numPr>
      </w:pPr>
      <w:r>
        <w:t>DEXA-first year at 6</w:t>
      </w:r>
      <w:r w:rsidR="006015CE">
        <w:t>months</w:t>
      </w:r>
    </w:p>
    <w:p w14:paraId="13871F75" w14:textId="288C5C76" w:rsidR="006647F4" w:rsidRDefault="006647F4" w:rsidP="006647F4">
      <w:pPr>
        <w:pStyle w:val="ListParagraph"/>
        <w:numPr>
          <w:ilvl w:val="1"/>
          <w:numId w:val="15"/>
        </w:numPr>
      </w:pPr>
      <w:r>
        <w:t xml:space="preserve">Timed-Lipid panel,A1c, PTH, </w:t>
      </w:r>
      <w:proofErr w:type="spellStart"/>
      <w:r>
        <w:t>Vit</w:t>
      </w:r>
      <w:proofErr w:type="spellEnd"/>
      <w:r>
        <w:t xml:space="preserve"> D, </w:t>
      </w:r>
      <w:r w:rsidR="00574E41">
        <w:t xml:space="preserve">Urine Analysis, </w:t>
      </w:r>
      <w:r>
        <w:t>UPCR -month 1, month 3, month 6, month 12</w:t>
      </w:r>
    </w:p>
    <w:p w14:paraId="2C0C734A" w14:textId="77777777" w:rsidR="006647F4" w:rsidRDefault="006647F4" w:rsidP="006647F4">
      <w:pPr>
        <w:pStyle w:val="ListParagraph"/>
        <w:numPr>
          <w:ilvl w:val="1"/>
          <w:numId w:val="15"/>
        </w:numPr>
      </w:pPr>
      <w:r>
        <w:lastRenderedPageBreak/>
        <w:t>Timed-BK CMV-monthly for 1 year</w:t>
      </w:r>
    </w:p>
    <w:p w14:paraId="74AF9E78" w14:textId="77777777" w:rsidR="006647F4" w:rsidRDefault="006647F4" w:rsidP="006647F4">
      <w:pPr>
        <w:pStyle w:val="ListParagraph"/>
        <w:numPr>
          <w:ilvl w:val="1"/>
          <w:numId w:val="15"/>
        </w:numPr>
      </w:pPr>
      <w:r>
        <w:t>Follow Liver High Risk protocol</w:t>
      </w:r>
    </w:p>
    <w:p w14:paraId="0BCFF375" w14:textId="77777777" w:rsidR="001575F5" w:rsidRDefault="001575F5" w:rsidP="001575F5">
      <w:pPr>
        <w:pStyle w:val="ListParagraph"/>
        <w:rPr>
          <w:sz w:val="24"/>
          <w:szCs w:val="24"/>
        </w:rPr>
      </w:pPr>
    </w:p>
    <w:p w14:paraId="58BA1619" w14:textId="77777777" w:rsidR="0024405B" w:rsidRPr="006015CE" w:rsidRDefault="0024405B" w:rsidP="0024405B">
      <w:pPr>
        <w:pStyle w:val="ListParagraph"/>
        <w:pBdr>
          <w:top w:val="single" w:sz="4" w:space="1" w:color="auto"/>
        </w:pBdr>
        <w:rPr>
          <w:sz w:val="24"/>
          <w:szCs w:val="24"/>
        </w:rPr>
      </w:pPr>
    </w:p>
    <w:p w14:paraId="3CA1AAB3" w14:textId="243E733D" w:rsidR="006647F4" w:rsidRPr="006015CE" w:rsidRDefault="0024405B" w:rsidP="00F33065">
      <w:pPr>
        <w:rPr>
          <w:b/>
          <w:u w:val="single"/>
        </w:rPr>
      </w:pPr>
      <w:r>
        <w:rPr>
          <w:b/>
          <w:u w:val="single"/>
        </w:rPr>
        <w:t>FOLLOW UP</w:t>
      </w:r>
      <w:r w:rsidR="00F33065" w:rsidRPr="006015CE">
        <w:rPr>
          <w:b/>
          <w:u w:val="single"/>
        </w:rPr>
        <w:t>-</w:t>
      </w:r>
      <w:r>
        <w:rPr>
          <w:b/>
          <w:u w:val="single"/>
        </w:rPr>
        <w:t xml:space="preserve"> &lt;1 YEAR:</w:t>
      </w:r>
    </w:p>
    <w:p w14:paraId="266B439F" w14:textId="77777777" w:rsidR="006015CE" w:rsidRDefault="006015CE" w:rsidP="00F33065"/>
    <w:tbl>
      <w:tblPr>
        <w:tblStyle w:val="TableGrid"/>
        <w:tblW w:w="1560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1791"/>
        <w:gridCol w:w="1254"/>
        <w:gridCol w:w="1212"/>
        <w:gridCol w:w="1152"/>
        <w:gridCol w:w="1154"/>
        <w:gridCol w:w="1492"/>
        <w:gridCol w:w="1108"/>
        <w:gridCol w:w="1324"/>
        <w:gridCol w:w="1339"/>
        <w:gridCol w:w="1330"/>
        <w:gridCol w:w="1093"/>
        <w:gridCol w:w="1344"/>
        <w:gridCol w:w="7"/>
      </w:tblGrid>
      <w:tr w:rsidR="006647F4" w:rsidRPr="00A62950" w14:paraId="64AAE717" w14:textId="77777777" w:rsidTr="006647F4">
        <w:trPr>
          <w:gridAfter w:val="1"/>
          <w:wAfter w:w="7" w:type="dxa"/>
          <w:trHeight w:val="669"/>
        </w:trPr>
        <w:tc>
          <w:tcPr>
            <w:tcW w:w="1791" w:type="dxa"/>
          </w:tcPr>
          <w:p w14:paraId="02545A12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</w:p>
          <w:p w14:paraId="79102726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254" w:type="dxa"/>
          </w:tcPr>
          <w:p w14:paraId="7BBAC900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 xml:space="preserve">Week </w:t>
            </w:r>
          </w:p>
          <w:p w14:paraId="47BE0102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212" w:type="dxa"/>
          </w:tcPr>
          <w:p w14:paraId="5F3974E1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3A45BCB2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152" w:type="dxa"/>
          </w:tcPr>
          <w:p w14:paraId="2064D427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572BADB0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154" w:type="dxa"/>
            <w:shd w:val="clear" w:color="auto" w:fill="auto"/>
          </w:tcPr>
          <w:p w14:paraId="41B32AC1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117C0495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492" w:type="dxa"/>
          </w:tcPr>
          <w:p w14:paraId="5DC89321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72C1525F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108" w:type="dxa"/>
          </w:tcPr>
          <w:p w14:paraId="7D81EA3D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7C041D5E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1324" w:type="dxa"/>
          </w:tcPr>
          <w:p w14:paraId="44E79F0D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04CD91F7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1339" w:type="dxa"/>
          </w:tcPr>
          <w:p w14:paraId="5D6554D8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Week</w:t>
            </w:r>
          </w:p>
          <w:p w14:paraId="1374D171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1330" w:type="dxa"/>
          </w:tcPr>
          <w:p w14:paraId="03938FE8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Months</w:t>
            </w:r>
          </w:p>
          <w:p w14:paraId="4F045F11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3-5</w:t>
            </w:r>
          </w:p>
        </w:tc>
        <w:tc>
          <w:tcPr>
            <w:tcW w:w="1093" w:type="dxa"/>
          </w:tcPr>
          <w:p w14:paraId="75BFFA52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Month</w:t>
            </w:r>
          </w:p>
          <w:p w14:paraId="60F31240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6-9</w:t>
            </w:r>
          </w:p>
        </w:tc>
        <w:tc>
          <w:tcPr>
            <w:tcW w:w="1344" w:type="dxa"/>
          </w:tcPr>
          <w:p w14:paraId="681001D5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Month</w:t>
            </w:r>
          </w:p>
          <w:p w14:paraId="49232763" w14:textId="77777777" w:rsidR="006647F4" w:rsidRPr="00A62950" w:rsidRDefault="006647F4" w:rsidP="004D035C">
            <w:pPr>
              <w:rPr>
                <w:b/>
                <w:color w:val="1F4E79" w:themeColor="accent1" w:themeShade="80"/>
              </w:rPr>
            </w:pPr>
            <w:r w:rsidRPr="00A62950">
              <w:rPr>
                <w:b/>
                <w:color w:val="1F4E79" w:themeColor="accent1" w:themeShade="80"/>
              </w:rPr>
              <w:t>12</w:t>
            </w:r>
          </w:p>
        </w:tc>
      </w:tr>
      <w:tr w:rsidR="006647F4" w14:paraId="6521D2E0" w14:textId="77777777" w:rsidTr="006647F4">
        <w:trPr>
          <w:trHeight w:val="329"/>
        </w:trPr>
        <w:tc>
          <w:tcPr>
            <w:tcW w:w="15600" w:type="dxa"/>
            <w:gridSpan w:val="13"/>
            <w:shd w:val="clear" w:color="auto" w:fill="auto"/>
          </w:tcPr>
          <w:p w14:paraId="0B704D4D" w14:textId="77777777" w:rsidR="006647F4" w:rsidRPr="00057C7A" w:rsidRDefault="006647F4" w:rsidP="004D035C">
            <w:pPr>
              <w:rPr>
                <w:b/>
              </w:rPr>
            </w:pPr>
            <w:r w:rsidRPr="00AE055C">
              <w:rPr>
                <w:b/>
                <w:color w:val="00B0F0"/>
              </w:rPr>
              <w:t>Visits and Reports</w:t>
            </w:r>
          </w:p>
          <w:p w14:paraId="6E5244AF" w14:textId="77777777" w:rsidR="006647F4" w:rsidRDefault="006647F4" w:rsidP="004D035C">
            <w:r>
              <w:t xml:space="preserve">   </w:t>
            </w:r>
          </w:p>
        </w:tc>
      </w:tr>
      <w:tr w:rsidR="006647F4" w14:paraId="1F21B14D" w14:textId="77777777" w:rsidTr="00A072EC">
        <w:trPr>
          <w:gridAfter w:val="1"/>
          <w:wAfter w:w="7" w:type="dxa"/>
          <w:trHeight w:val="1286"/>
        </w:trPr>
        <w:tc>
          <w:tcPr>
            <w:tcW w:w="1791" w:type="dxa"/>
          </w:tcPr>
          <w:p w14:paraId="5DA3CB64" w14:textId="77777777" w:rsidR="006647F4" w:rsidRDefault="006647F4" w:rsidP="004D035C">
            <w:r>
              <w:t>Weekly/Monthly Provider Visits/Lab frequency</w:t>
            </w:r>
          </w:p>
        </w:tc>
        <w:tc>
          <w:tcPr>
            <w:tcW w:w="1254" w:type="dxa"/>
          </w:tcPr>
          <w:p w14:paraId="6FBEAA5F" w14:textId="77777777" w:rsidR="006647F4" w:rsidRDefault="006647F4" w:rsidP="004D035C">
            <w:r>
              <w:t xml:space="preserve">Liver </w:t>
            </w:r>
            <w:proofErr w:type="spellStart"/>
            <w:r>
              <w:t>Surg</w:t>
            </w:r>
            <w:proofErr w:type="spellEnd"/>
            <w:r>
              <w:t>/3x weekly labs</w:t>
            </w:r>
          </w:p>
        </w:tc>
        <w:tc>
          <w:tcPr>
            <w:tcW w:w="1212" w:type="dxa"/>
          </w:tcPr>
          <w:p w14:paraId="009ADFB3" w14:textId="77777777" w:rsidR="006647F4" w:rsidRDefault="006647F4" w:rsidP="004D035C">
            <w:r>
              <w:t xml:space="preserve">Liver </w:t>
            </w:r>
            <w:proofErr w:type="spellStart"/>
            <w:r>
              <w:t>Surg</w:t>
            </w:r>
            <w:proofErr w:type="spellEnd"/>
            <w:r>
              <w:t>/3x weekly</w:t>
            </w:r>
          </w:p>
          <w:p w14:paraId="508479C4" w14:textId="77777777" w:rsidR="006647F4" w:rsidRDefault="006647F4" w:rsidP="004D035C">
            <w:r>
              <w:t>labs</w:t>
            </w:r>
          </w:p>
        </w:tc>
        <w:tc>
          <w:tcPr>
            <w:tcW w:w="1152" w:type="dxa"/>
          </w:tcPr>
          <w:p w14:paraId="054046B3" w14:textId="77777777" w:rsidR="006647F4" w:rsidRDefault="006647F4" w:rsidP="004D035C">
            <w:r>
              <w:t xml:space="preserve">Liver </w:t>
            </w:r>
            <w:proofErr w:type="spellStart"/>
            <w:r>
              <w:t>Surg</w:t>
            </w:r>
            <w:proofErr w:type="spellEnd"/>
            <w:r>
              <w:t xml:space="preserve">/3x Weekly </w:t>
            </w:r>
          </w:p>
          <w:p w14:paraId="0DE4EE96" w14:textId="77777777" w:rsidR="006647F4" w:rsidRDefault="006647F4" w:rsidP="004D035C">
            <w:r>
              <w:t>Labs</w:t>
            </w:r>
          </w:p>
        </w:tc>
        <w:tc>
          <w:tcPr>
            <w:tcW w:w="1154" w:type="dxa"/>
            <w:shd w:val="clear" w:color="auto" w:fill="auto"/>
          </w:tcPr>
          <w:p w14:paraId="22A1B4C1" w14:textId="77777777" w:rsidR="006647F4" w:rsidRDefault="006647F4" w:rsidP="004D035C">
            <w:r>
              <w:t xml:space="preserve">Liver </w:t>
            </w:r>
            <w:proofErr w:type="spellStart"/>
            <w:r>
              <w:t>Surg</w:t>
            </w:r>
            <w:proofErr w:type="spellEnd"/>
            <w:r>
              <w:t>/3x</w:t>
            </w:r>
          </w:p>
          <w:p w14:paraId="30A015CC" w14:textId="77777777" w:rsidR="006647F4" w:rsidRDefault="006647F4" w:rsidP="004D035C">
            <w:r>
              <w:t>Weekly</w:t>
            </w:r>
          </w:p>
          <w:p w14:paraId="08710A1B" w14:textId="77777777" w:rsidR="006647F4" w:rsidRDefault="006647F4" w:rsidP="004D035C">
            <w:r>
              <w:t>Labs</w:t>
            </w:r>
          </w:p>
        </w:tc>
        <w:tc>
          <w:tcPr>
            <w:tcW w:w="1492" w:type="dxa"/>
          </w:tcPr>
          <w:p w14:paraId="739D5CDC" w14:textId="77777777" w:rsidR="006647F4" w:rsidRDefault="006647F4" w:rsidP="004D035C"/>
        </w:tc>
        <w:tc>
          <w:tcPr>
            <w:tcW w:w="1108" w:type="dxa"/>
          </w:tcPr>
          <w:p w14:paraId="770066D2" w14:textId="77777777" w:rsidR="006647F4" w:rsidRDefault="006647F4" w:rsidP="004D035C">
            <w:r>
              <w:t xml:space="preserve">Liver </w:t>
            </w:r>
            <w:proofErr w:type="spellStart"/>
            <w:r>
              <w:t>Surg</w:t>
            </w:r>
            <w:proofErr w:type="spellEnd"/>
            <w:r>
              <w:t xml:space="preserve">/2x Weekly </w:t>
            </w:r>
          </w:p>
          <w:p w14:paraId="65756CB7" w14:textId="77777777" w:rsidR="006647F4" w:rsidRDefault="006647F4" w:rsidP="004D035C">
            <w:r>
              <w:t>Labs</w:t>
            </w:r>
          </w:p>
        </w:tc>
        <w:tc>
          <w:tcPr>
            <w:tcW w:w="1324" w:type="dxa"/>
          </w:tcPr>
          <w:p w14:paraId="64D88E02" w14:textId="77777777" w:rsidR="006647F4" w:rsidRDefault="006647F4" w:rsidP="004D035C"/>
        </w:tc>
        <w:tc>
          <w:tcPr>
            <w:tcW w:w="1339" w:type="dxa"/>
          </w:tcPr>
          <w:p w14:paraId="62CCC149" w14:textId="03022933" w:rsidR="006647F4" w:rsidRDefault="006647F4" w:rsidP="004D035C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  <w:p w14:paraId="641FF033" w14:textId="77777777" w:rsidR="006647F4" w:rsidRDefault="006647F4" w:rsidP="004D035C">
            <w:r>
              <w:t>Weekly labs</w:t>
            </w:r>
          </w:p>
        </w:tc>
        <w:tc>
          <w:tcPr>
            <w:tcW w:w="1330" w:type="dxa"/>
          </w:tcPr>
          <w:p w14:paraId="384EB6D6" w14:textId="77777777" w:rsidR="006647F4" w:rsidRDefault="006647F4" w:rsidP="004D035C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  <w:p w14:paraId="3EC8EF35" w14:textId="77777777" w:rsidR="006647F4" w:rsidRDefault="006647F4" w:rsidP="004D035C">
            <w:r>
              <w:t>Monthly labs</w:t>
            </w:r>
          </w:p>
        </w:tc>
        <w:tc>
          <w:tcPr>
            <w:tcW w:w="1093" w:type="dxa"/>
          </w:tcPr>
          <w:p w14:paraId="3D8D9853" w14:textId="77777777" w:rsidR="006647F4" w:rsidRDefault="006647F4" w:rsidP="004D035C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  <w:p w14:paraId="7C197A58" w14:textId="77777777" w:rsidR="006647F4" w:rsidRDefault="006647F4" w:rsidP="004D035C">
            <w:r>
              <w:t>Monthly</w:t>
            </w:r>
          </w:p>
          <w:p w14:paraId="78778C22" w14:textId="77777777" w:rsidR="006647F4" w:rsidRDefault="006647F4" w:rsidP="004D035C">
            <w:r>
              <w:t>labs</w:t>
            </w:r>
          </w:p>
          <w:p w14:paraId="1D47F275" w14:textId="77777777" w:rsidR="006647F4" w:rsidRDefault="006647F4" w:rsidP="004D035C"/>
        </w:tc>
        <w:tc>
          <w:tcPr>
            <w:tcW w:w="1344" w:type="dxa"/>
          </w:tcPr>
          <w:p w14:paraId="6C2D40F4" w14:textId="0B16DCC1" w:rsidR="006647F4" w:rsidRDefault="006B3726" w:rsidP="004D035C">
            <w:proofErr w:type="spellStart"/>
            <w:r>
              <w:t>Hepat</w:t>
            </w:r>
            <w:proofErr w:type="spellEnd"/>
            <w:r w:rsidR="006647F4">
              <w:t>/</w:t>
            </w:r>
            <w:proofErr w:type="spellStart"/>
            <w:r w:rsidR="006647F4">
              <w:t>neph</w:t>
            </w:r>
            <w:proofErr w:type="spellEnd"/>
          </w:p>
        </w:tc>
      </w:tr>
      <w:tr w:rsidR="006647F4" w14:paraId="29925880" w14:textId="77777777" w:rsidTr="006647F4">
        <w:trPr>
          <w:gridAfter w:val="1"/>
          <w:wAfter w:w="7" w:type="dxa"/>
          <w:trHeight w:val="658"/>
        </w:trPr>
        <w:tc>
          <w:tcPr>
            <w:tcW w:w="1791" w:type="dxa"/>
          </w:tcPr>
          <w:p w14:paraId="6A9B96BC" w14:textId="77777777" w:rsidR="006647F4" w:rsidRDefault="006647F4" w:rsidP="004D035C">
            <w:r>
              <w:t>Labs Only</w:t>
            </w:r>
          </w:p>
        </w:tc>
        <w:tc>
          <w:tcPr>
            <w:tcW w:w="4772" w:type="dxa"/>
            <w:gridSpan w:val="4"/>
            <w:shd w:val="clear" w:color="auto" w:fill="auto"/>
          </w:tcPr>
          <w:p w14:paraId="6DF29A3D" w14:textId="77777777" w:rsidR="006647F4" w:rsidRDefault="006647F4" w:rsidP="004D035C"/>
        </w:tc>
        <w:tc>
          <w:tcPr>
            <w:tcW w:w="1492" w:type="dxa"/>
          </w:tcPr>
          <w:p w14:paraId="0F13FE3D" w14:textId="77777777" w:rsidR="006647F4" w:rsidRDefault="006647F4" w:rsidP="004D035C">
            <w:r>
              <w:t xml:space="preserve">2x/weekly </w:t>
            </w:r>
          </w:p>
          <w:p w14:paraId="0D0D292E" w14:textId="77777777" w:rsidR="006647F4" w:rsidRDefault="006647F4" w:rsidP="004D035C">
            <w:r>
              <w:t>Labs</w:t>
            </w:r>
          </w:p>
        </w:tc>
        <w:tc>
          <w:tcPr>
            <w:tcW w:w="1108" w:type="dxa"/>
          </w:tcPr>
          <w:p w14:paraId="4CF173F8" w14:textId="77777777" w:rsidR="006647F4" w:rsidRDefault="006647F4" w:rsidP="004D035C"/>
        </w:tc>
        <w:tc>
          <w:tcPr>
            <w:tcW w:w="1324" w:type="dxa"/>
          </w:tcPr>
          <w:p w14:paraId="65FADC04" w14:textId="77777777" w:rsidR="006647F4" w:rsidRDefault="006647F4" w:rsidP="004D035C">
            <w:r>
              <w:t>Weekly Labs</w:t>
            </w:r>
          </w:p>
        </w:tc>
        <w:tc>
          <w:tcPr>
            <w:tcW w:w="3762" w:type="dxa"/>
            <w:gridSpan w:val="3"/>
          </w:tcPr>
          <w:p w14:paraId="63D76702" w14:textId="77777777" w:rsidR="006647F4" w:rsidRDefault="006647F4" w:rsidP="004D035C"/>
        </w:tc>
        <w:tc>
          <w:tcPr>
            <w:tcW w:w="1344" w:type="dxa"/>
          </w:tcPr>
          <w:p w14:paraId="5997A499" w14:textId="77777777" w:rsidR="006647F4" w:rsidRDefault="006647F4" w:rsidP="004D035C">
            <w:r>
              <w:t>Every 2-3 Months</w:t>
            </w:r>
          </w:p>
        </w:tc>
      </w:tr>
      <w:tr w:rsidR="006647F4" w14:paraId="0D065801" w14:textId="77777777" w:rsidTr="006647F4">
        <w:trPr>
          <w:trHeight w:val="695"/>
        </w:trPr>
        <w:tc>
          <w:tcPr>
            <w:tcW w:w="1791" w:type="dxa"/>
          </w:tcPr>
          <w:p w14:paraId="6E59F4F3" w14:textId="77777777" w:rsidR="006647F4" w:rsidRDefault="006647F4" w:rsidP="004D035C">
            <w:r>
              <w:t>UNOS report</w:t>
            </w:r>
          </w:p>
          <w:p w14:paraId="0C16EEF0" w14:textId="77777777" w:rsidR="006647F4" w:rsidRDefault="006647F4" w:rsidP="004D035C">
            <w:r>
              <w:t>Completed</w:t>
            </w:r>
          </w:p>
        </w:tc>
        <w:tc>
          <w:tcPr>
            <w:tcW w:w="1254" w:type="dxa"/>
          </w:tcPr>
          <w:p w14:paraId="66D92CF3" w14:textId="77777777" w:rsidR="006647F4" w:rsidRDefault="006647F4" w:rsidP="004D035C">
            <w:r>
              <w:t>complete</w:t>
            </w:r>
          </w:p>
        </w:tc>
        <w:tc>
          <w:tcPr>
            <w:tcW w:w="10111" w:type="dxa"/>
            <w:gridSpan w:val="8"/>
            <w:shd w:val="clear" w:color="auto" w:fill="auto"/>
          </w:tcPr>
          <w:p w14:paraId="349E5639" w14:textId="77777777" w:rsidR="006647F4" w:rsidRDefault="006647F4" w:rsidP="004D035C"/>
        </w:tc>
        <w:tc>
          <w:tcPr>
            <w:tcW w:w="1093" w:type="dxa"/>
          </w:tcPr>
          <w:p w14:paraId="395E8A6B" w14:textId="77777777" w:rsidR="006647F4" w:rsidRDefault="006647F4" w:rsidP="004D035C">
            <w:r>
              <w:t>complete</w:t>
            </w:r>
          </w:p>
        </w:tc>
        <w:tc>
          <w:tcPr>
            <w:tcW w:w="1351" w:type="dxa"/>
            <w:gridSpan w:val="2"/>
          </w:tcPr>
          <w:p w14:paraId="7AF1102C" w14:textId="77777777" w:rsidR="006647F4" w:rsidRDefault="006647F4" w:rsidP="004D035C"/>
        </w:tc>
      </w:tr>
    </w:tbl>
    <w:p w14:paraId="476AE71E" w14:textId="77777777" w:rsidR="006647F4" w:rsidRDefault="006647F4" w:rsidP="006647F4"/>
    <w:p w14:paraId="64FC5864" w14:textId="315EFDE1" w:rsidR="002E0B0E" w:rsidRPr="006015CE" w:rsidRDefault="0024405B" w:rsidP="002E0B0E">
      <w:pPr>
        <w:rPr>
          <w:b/>
          <w:u w:val="single"/>
        </w:rPr>
      </w:pPr>
      <w:r>
        <w:rPr>
          <w:b/>
          <w:u w:val="single"/>
        </w:rPr>
        <w:t>FOLLOW UP- &gt;1 YEAR:</w:t>
      </w:r>
    </w:p>
    <w:p w14:paraId="5E08F66C" w14:textId="77777777" w:rsidR="006015CE" w:rsidRDefault="006015CE" w:rsidP="002E0B0E"/>
    <w:tbl>
      <w:tblPr>
        <w:tblStyle w:val="TableGrid"/>
        <w:tblW w:w="926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1791"/>
        <w:gridCol w:w="1485"/>
        <w:gridCol w:w="1496"/>
        <w:gridCol w:w="1496"/>
        <w:gridCol w:w="1496"/>
        <w:gridCol w:w="1476"/>
        <w:gridCol w:w="20"/>
      </w:tblGrid>
      <w:tr w:rsidR="001A5CCC" w:rsidRPr="00A62950" w14:paraId="3D55239A" w14:textId="77777777" w:rsidTr="0024405B">
        <w:trPr>
          <w:trHeight w:val="669"/>
        </w:trPr>
        <w:tc>
          <w:tcPr>
            <w:tcW w:w="1791" w:type="dxa"/>
          </w:tcPr>
          <w:p w14:paraId="3FD7D5E3" w14:textId="77777777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</w:p>
          <w:p w14:paraId="56352BF9" w14:textId="77777777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485" w:type="dxa"/>
          </w:tcPr>
          <w:p w14:paraId="197F8D32" w14:textId="77777777" w:rsidR="001A5CCC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Month </w:t>
            </w:r>
          </w:p>
          <w:p w14:paraId="20EC5254" w14:textId="4D5873DB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18</w:t>
            </w:r>
          </w:p>
        </w:tc>
        <w:tc>
          <w:tcPr>
            <w:tcW w:w="1496" w:type="dxa"/>
          </w:tcPr>
          <w:p w14:paraId="172C3C32" w14:textId="77777777" w:rsidR="001A5CCC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Month</w:t>
            </w:r>
          </w:p>
          <w:p w14:paraId="379EC2CC" w14:textId="0E32D4FA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24</w:t>
            </w:r>
          </w:p>
        </w:tc>
        <w:tc>
          <w:tcPr>
            <w:tcW w:w="1496" w:type="dxa"/>
            <w:shd w:val="clear" w:color="auto" w:fill="auto"/>
          </w:tcPr>
          <w:p w14:paraId="52FEFB14" w14:textId="77777777" w:rsidR="001A5CCC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Month</w:t>
            </w:r>
          </w:p>
          <w:p w14:paraId="06B17B62" w14:textId="7814EAC8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30</w:t>
            </w:r>
          </w:p>
        </w:tc>
        <w:tc>
          <w:tcPr>
            <w:tcW w:w="1496" w:type="dxa"/>
          </w:tcPr>
          <w:p w14:paraId="0D824196" w14:textId="77777777" w:rsidR="001A5CCC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Month</w:t>
            </w:r>
          </w:p>
          <w:p w14:paraId="104B188E" w14:textId="7772D506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36</w:t>
            </w:r>
          </w:p>
        </w:tc>
        <w:tc>
          <w:tcPr>
            <w:tcW w:w="1496" w:type="dxa"/>
            <w:gridSpan w:val="2"/>
          </w:tcPr>
          <w:p w14:paraId="0BF33121" w14:textId="77777777" w:rsidR="001A5CCC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Year</w:t>
            </w:r>
          </w:p>
          <w:p w14:paraId="28B8778F" w14:textId="0CF89BD3" w:rsidR="001A5CCC" w:rsidRPr="00A62950" w:rsidRDefault="001A5CCC" w:rsidP="002E0B0E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3&gt;</w:t>
            </w:r>
          </w:p>
        </w:tc>
      </w:tr>
      <w:tr w:rsidR="002E0B0E" w14:paraId="0CC28B91" w14:textId="77777777" w:rsidTr="0024405B">
        <w:trPr>
          <w:gridAfter w:val="1"/>
          <w:wAfter w:w="20" w:type="dxa"/>
          <w:trHeight w:val="329"/>
        </w:trPr>
        <w:tc>
          <w:tcPr>
            <w:tcW w:w="9240" w:type="dxa"/>
            <w:gridSpan w:val="6"/>
            <w:shd w:val="clear" w:color="auto" w:fill="auto"/>
          </w:tcPr>
          <w:p w14:paraId="06439F65" w14:textId="77777777" w:rsidR="002E0B0E" w:rsidRPr="00057C7A" w:rsidRDefault="002E0B0E" w:rsidP="002E0B0E">
            <w:pPr>
              <w:rPr>
                <w:b/>
              </w:rPr>
            </w:pPr>
            <w:r w:rsidRPr="00AE055C">
              <w:rPr>
                <w:b/>
                <w:color w:val="00B0F0"/>
              </w:rPr>
              <w:t>Visits and Reports</w:t>
            </w:r>
          </w:p>
          <w:p w14:paraId="6B468E00" w14:textId="77777777" w:rsidR="002E0B0E" w:rsidRDefault="002E0B0E" w:rsidP="002E0B0E">
            <w:r>
              <w:t xml:space="preserve">   </w:t>
            </w:r>
          </w:p>
        </w:tc>
      </w:tr>
      <w:tr w:rsidR="0024405B" w14:paraId="62100460" w14:textId="77777777" w:rsidTr="0024405B">
        <w:trPr>
          <w:trHeight w:val="1286"/>
        </w:trPr>
        <w:tc>
          <w:tcPr>
            <w:tcW w:w="1791" w:type="dxa"/>
          </w:tcPr>
          <w:p w14:paraId="1E70ED01" w14:textId="7B93A250" w:rsidR="0024405B" w:rsidRDefault="0024405B" w:rsidP="002E0B0E">
            <w:r>
              <w:t>Provider/Labs</w:t>
            </w:r>
          </w:p>
        </w:tc>
        <w:tc>
          <w:tcPr>
            <w:tcW w:w="1485" w:type="dxa"/>
          </w:tcPr>
          <w:p w14:paraId="7220B7B6" w14:textId="6DFC33F8" w:rsidR="0024405B" w:rsidRDefault="0024405B" w:rsidP="00310AFB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  <w:p w14:paraId="6C34B507" w14:textId="29C08ADC" w:rsidR="0024405B" w:rsidRDefault="0024405B" w:rsidP="002E0B0E"/>
        </w:tc>
        <w:tc>
          <w:tcPr>
            <w:tcW w:w="1496" w:type="dxa"/>
          </w:tcPr>
          <w:p w14:paraId="6F0EEA22" w14:textId="03FFB2FD" w:rsidR="0024405B" w:rsidRDefault="0024405B" w:rsidP="002E0B0E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28573094" w14:textId="35758F9B" w:rsidR="0024405B" w:rsidRDefault="0024405B" w:rsidP="002E0B0E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</w:tc>
        <w:tc>
          <w:tcPr>
            <w:tcW w:w="1496" w:type="dxa"/>
          </w:tcPr>
          <w:p w14:paraId="33EF5DFB" w14:textId="7A130918" w:rsidR="0024405B" w:rsidRDefault="0024405B" w:rsidP="002E0B0E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</w:tc>
        <w:tc>
          <w:tcPr>
            <w:tcW w:w="1496" w:type="dxa"/>
            <w:gridSpan w:val="2"/>
          </w:tcPr>
          <w:p w14:paraId="387EB37C" w14:textId="77777777" w:rsidR="0024405B" w:rsidRDefault="0024405B" w:rsidP="002E0B0E">
            <w:r>
              <w:t>Yearly</w:t>
            </w:r>
          </w:p>
          <w:p w14:paraId="59BA6DF7" w14:textId="1438C400" w:rsidR="0024405B" w:rsidRDefault="0024405B" w:rsidP="002E0B0E">
            <w:proofErr w:type="spellStart"/>
            <w:r>
              <w:t>Hepat</w:t>
            </w:r>
            <w:proofErr w:type="spellEnd"/>
            <w:r>
              <w:t>/</w:t>
            </w:r>
            <w:proofErr w:type="spellStart"/>
            <w:r>
              <w:t>Neph</w:t>
            </w:r>
            <w:proofErr w:type="spellEnd"/>
          </w:p>
        </w:tc>
      </w:tr>
    </w:tbl>
    <w:p w14:paraId="6ED590AE" w14:textId="77777777" w:rsidR="002E0B0E" w:rsidRDefault="002E0B0E" w:rsidP="006647F4"/>
    <w:p w14:paraId="121C5BD9" w14:textId="77777777" w:rsidR="002E0B0E" w:rsidRDefault="002E0B0E" w:rsidP="006647F4"/>
    <w:p w14:paraId="7A77B18F" w14:textId="77777777" w:rsidR="0024405B" w:rsidRDefault="0024405B" w:rsidP="00F33065">
      <w:pPr>
        <w:rPr>
          <w:b/>
          <w:u w:val="single"/>
        </w:rPr>
      </w:pPr>
    </w:p>
    <w:p w14:paraId="5CE3B528" w14:textId="77777777" w:rsidR="0024405B" w:rsidRDefault="0024405B" w:rsidP="0024405B">
      <w:pPr>
        <w:pBdr>
          <w:bottom w:val="single" w:sz="4" w:space="1" w:color="auto"/>
        </w:pBdr>
        <w:rPr>
          <w:b/>
          <w:u w:val="single"/>
        </w:rPr>
      </w:pPr>
    </w:p>
    <w:p w14:paraId="26A9A343" w14:textId="77777777" w:rsidR="0024405B" w:rsidRDefault="0024405B" w:rsidP="00F33065">
      <w:pPr>
        <w:rPr>
          <w:b/>
          <w:u w:val="single"/>
        </w:rPr>
      </w:pPr>
    </w:p>
    <w:p w14:paraId="3B30C6B8" w14:textId="0B051B3A" w:rsidR="00F33065" w:rsidRPr="006015CE" w:rsidRDefault="0024405B" w:rsidP="00F33065">
      <w:pPr>
        <w:rPr>
          <w:b/>
          <w:u w:val="single"/>
        </w:rPr>
      </w:pPr>
      <w:r>
        <w:rPr>
          <w:b/>
          <w:u w:val="single"/>
        </w:rPr>
        <w:t>IMMUNOSUPPRESSION MANAGEMENT</w:t>
      </w:r>
      <w:r w:rsidR="00F33065" w:rsidRPr="006015CE">
        <w:rPr>
          <w:b/>
          <w:u w:val="single"/>
        </w:rPr>
        <w:t>-</w:t>
      </w:r>
      <w:r w:rsidR="00702667">
        <w:rPr>
          <w:b/>
          <w:u w:val="single"/>
        </w:rPr>
        <w:t xml:space="preserve">SLK Patients </w:t>
      </w:r>
      <w:r w:rsidR="00D218CF">
        <w:rPr>
          <w:b/>
          <w:u w:val="single"/>
        </w:rPr>
        <w:t xml:space="preserve">will remain on </w:t>
      </w:r>
      <w:proofErr w:type="spellStart"/>
      <w:r w:rsidR="00D218CF">
        <w:rPr>
          <w:b/>
          <w:u w:val="single"/>
        </w:rPr>
        <w:t>Tac+MMF</w:t>
      </w:r>
      <w:proofErr w:type="spellEnd"/>
    </w:p>
    <w:p w14:paraId="59444A0C" w14:textId="20E12E92" w:rsidR="00F33065" w:rsidRDefault="00D218CF" w:rsidP="00F33065">
      <w:pPr>
        <w:pStyle w:val="ListParagraph"/>
        <w:numPr>
          <w:ilvl w:val="1"/>
          <w:numId w:val="22"/>
        </w:numPr>
      </w:pPr>
      <w:r>
        <w:t xml:space="preserve">&lt; 1 </w:t>
      </w:r>
      <w:proofErr w:type="spellStart"/>
      <w:r>
        <w:t>yr</w:t>
      </w:r>
      <w:proofErr w:type="spellEnd"/>
      <w:r>
        <w:t xml:space="preserve"> (will stay </w:t>
      </w:r>
      <w:r w:rsidR="00F33065">
        <w:t>on MMF and tac)-</w:t>
      </w:r>
      <w:r w:rsidR="00F33065" w:rsidRPr="00B0204B">
        <w:t xml:space="preserve"> </w:t>
      </w:r>
      <w:r w:rsidR="00F33065">
        <w:t xml:space="preserve">Follow liver protocol, </w:t>
      </w:r>
      <w:r>
        <w:t xml:space="preserve">Discuss with both </w:t>
      </w:r>
      <w:r w:rsidR="00F33065">
        <w:t>Liver and Kidney Team</w:t>
      </w:r>
    </w:p>
    <w:p w14:paraId="2BD999F5" w14:textId="227F1011" w:rsidR="00F33065" w:rsidRDefault="00EB5C91" w:rsidP="00F33065">
      <w:pPr>
        <w:pStyle w:val="ListParagraph"/>
        <w:numPr>
          <w:ilvl w:val="2"/>
          <w:numId w:val="22"/>
        </w:numPr>
      </w:pPr>
      <w:r>
        <w:t>Tac trough 8-12  till Month 3, then 6-8</w:t>
      </w:r>
    </w:p>
    <w:p w14:paraId="55F41F8C" w14:textId="46EB5ECB" w:rsidR="00F33065" w:rsidRDefault="00163E7A" w:rsidP="00F33065">
      <w:pPr>
        <w:pStyle w:val="ListParagraph"/>
        <w:numPr>
          <w:ilvl w:val="2"/>
          <w:numId w:val="22"/>
        </w:numPr>
      </w:pPr>
      <w:r>
        <w:t xml:space="preserve">MMF </w:t>
      </w:r>
      <w:r w:rsidR="00F33065">
        <w:t>1g bid</w:t>
      </w:r>
    </w:p>
    <w:p w14:paraId="116B2C02" w14:textId="1645C919" w:rsidR="00F33065" w:rsidRDefault="00F33065" w:rsidP="00F33065">
      <w:pPr>
        <w:pStyle w:val="ListParagraph"/>
        <w:numPr>
          <w:ilvl w:val="1"/>
          <w:numId w:val="22"/>
        </w:numPr>
      </w:pPr>
      <w:r>
        <w:t xml:space="preserve">&gt; 1yr </w:t>
      </w:r>
      <w:r w:rsidR="00D218CF">
        <w:t>–</w:t>
      </w:r>
      <w:r w:rsidRPr="00B0204B">
        <w:t xml:space="preserve"> </w:t>
      </w:r>
      <w:r w:rsidR="00D218CF">
        <w:t xml:space="preserve">Discuss with both </w:t>
      </w:r>
      <w:r>
        <w:t>Liver and Kidney Team</w:t>
      </w:r>
    </w:p>
    <w:p w14:paraId="5783FCA7" w14:textId="449D4064" w:rsidR="00F33065" w:rsidRDefault="00F33065" w:rsidP="00F33065">
      <w:pPr>
        <w:pStyle w:val="ListParagraph"/>
        <w:numPr>
          <w:ilvl w:val="2"/>
          <w:numId w:val="22"/>
        </w:numPr>
      </w:pPr>
      <w:r>
        <w:t>Tac trough 3-5</w:t>
      </w:r>
    </w:p>
    <w:p w14:paraId="7D8067C8" w14:textId="77777777" w:rsidR="00F33065" w:rsidRDefault="00F33065" w:rsidP="00F33065">
      <w:pPr>
        <w:pStyle w:val="ListParagraph"/>
        <w:numPr>
          <w:ilvl w:val="2"/>
          <w:numId w:val="22"/>
        </w:numPr>
      </w:pPr>
      <w:r>
        <w:t xml:space="preserve">MMF 1g bid or 500mg bid depending upon history of rejection </w:t>
      </w:r>
      <w:proofErr w:type="spellStart"/>
      <w:r>
        <w:t>post transplant</w:t>
      </w:r>
      <w:proofErr w:type="spellEnd"/>
    </w:p>
    <w:p w14:paraId="421A710C" w14:textId="77777777" w:rsidR="00F33065" w:rsidRDefault="00F33065" w:rsidP="00F33065">
      <w:pPr>
        <w:pStyle w:val="ListParagraph"/>
        <w:numPr>
          <w:ilvl w:val="1"/>
          <w:numId w:val="22"/>
        </w:numPr>
      </w:pPr>
      <w:r>
        <w:t xml:space="preserve">Prednisone is off at day 90 except in autoimmune which may benefit from continuation of steroids. </w:t>
      </w:r>
    </w:p>
    <w:p w14:paraId="0B6FA9E9" w14:textId="77777777" w:rsidR="00F33065" w:rsidRDefault="00F33065" w:rsidP="00F33065">
      <w:pPr>
        <w:pStyle w:val="ListParagraph"/>
        <w:numPr>
          <w:ilvl w:val="2"/>
          <w:numId w:val="22"/>
        </w:numPr>
      </w:pPr>
      <w:r>
        <w:t>Patients with PSC or PBC should be off steroids in 6 months.</w:t>
      </w:r>
    </w:p>
    <w:p w14:paraId="651D96D8" w14:textId="77777777" w:rsidR="00F33065" w:rsidRDefault="00F33065" w:rsidP="006647F4"/>
    <w:tbl>
      <w:tblPr>
        <w:tblStyle w:val="TableGrid"/>
        <w:tblW w:w="15570" w:type="dxa"/>
        <w:tblInd w:w="-590" w:type="dxa"/>
        <w:tblLook w:val="04A0" w:firstRow="1" w:lastRow="0" w:firstColumn="1" w:lastColumn="0" w:noHBand="0" w:noVBand="1"/>
      </w:tblPr>
      <w:tblGrid>
        <w:gridCol w:w="2456"/>
        <w:gridCol w:w="1111"/>
        <w:gridCol w:w="1046"/>
        <w:gridCol w:w="968"/>
        <w:gridCol w:w="1271"/>
        <w:gridCol w:w="1371"/>
        <w:gridCol w:w="1095"/>
        <w:gridCol w:w="1271"/>
        <w:gridCol w:w="1399"/>
        <w:gridCol w:w="1147"/>
        <w:gridCol w:w="1425"/>
        <w:gridCol w:w="1003"/>
        <w:gridCol w:w="7"/>
      </w:tblGrid>
      <w:tr w:rsidR="006647F4" w14:paraId="79923D52" w14:textId="77777777" w:rsidTr="006647F4">
        <w:trPr>
          <w:gridAfter w:val="1"/>
          <w:wAfter w:w="7" w:type="dxa"/>
          <w:trHeight w:val="332"/>
        </w:trPr>
        <w:tc>
          <w:tcPr>
            <w:tcW w:w="2456" w:type="dxa"/>
          </w:tcPr>
          <w:p w14:paraId="6B31520C" w14:textId="77777777" w:rsidR="006647F4" w:rsidRPr="00AE055C" w:rsidRDefault="006647F4" w:rsidP="004D035C">
            <w:pPr>
              <w:rPr>
                <w:b/>
              </w:rPr>
            </w:pPr>
          </w:p>
        </w:tc>
        <w:tc>
          <w:tcPr>
            <w:tcW w:w="1111" w:type="dxa"/>
          </w:tcPr>
          <w:p w14:paraId="5E2582A1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60114675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046" w:type="dxa"/>
          </w:tcPr>
          <w:p w14:paraId="11C8ECE5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6434C05E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968" w:type="dxa"/>
          </w:tcPr>
          <w:p w14:paraId="56C4B24F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52F96A92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271" w:type="dxa"/>
          </w:tcPr>
          <w:p w14:paraId="457A5621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014709D5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371" w:type="dxa"/>
          </w:tcPr>
          <w:p w14:paraId="1D50DBB1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4208C854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095" w:type="dxa"/>
          </w:tcPr>
          <w:p w14:paraId="65FA183E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4680DCE3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1271" w:type="dxa"/>
          </w:tcPr>
          <w:p w14:paraId="58A6CC8D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12022022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1399" w:type="dxa"/>
          </w:tcPr>
          <w:p w14:paraId="769762D5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Week</w:t>
            </w:r>
          </w:p>
          <w:p w14:paraId="28B78535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8</w:t>
            </w:r>
          </w:p>
        </w:tc>
        <w:tc>
          <w:tcPr>
            <w:tcW w:w="1147" w:type="dxa"/>
          </w:tcPr>
          <w:p w14:paraId="237E1799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Month</w:t>
            </w:r>
          </w:p>
          <w:p w14:paraId="375C1E27" w14:textId="77777777" w:rsidR="006647F4" w:rsidRPr="00236B5D" w:rsidRDefault="006647F4" w:rsidP="00A74128">
            <w:pPr>
              <w:jc w:val="center"/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1425" w:type="dxa"/>
          </w:tcPr>
          <w:p w14:paraId="63FD8247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Months</w:t>
            </w:r>
          </w:p>
          <w:p w14:paraId="0F7BBBE8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4-11</w:t>
            </w:r>
          </w:p>
        </w:tc>
        <w:tc>
          <w:tcPr>
            <w:tcW w:w="1003" w:type="dxa"/>
          </w:tcPr>
          <w:p w14:paraId="18E46C28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Months</w:t>
            </w:r>
          </w:p>
          <w:p w14:paraId="0E15E8D7" w14:textId="77777777" w:rsidR="006647F4" w:rsidRPr="00236B5D" w:rsidRDefault="006647F4" w:rsidP="004D035C">
            <w:pPr>
              <w:rPr>
                <w:b/>
                <w:color w:val="1F4E79" w:themeColor="accent1" w:themeShade="80"/>
              </w:rPr>
            </w:pPr>
            <w:r w:rsidRPr="00236B5D">
              <w:rPr>
                <w:b/>
                <w:color w:val="1F4E79" w:themeColor="accent1" w:themeShade="80"/>
              </w:rPr>
              <w:t>12</w:t>
            </w:r>
          </w:p>
        </w:tc>
      </w:tr>
      <w:tr w:rsidR="006647F4" w14:paraId="1EA0D3A7" w14:textId="77777777" w:rsidTr="006647F4">
        <w:trPr>
          <w:trHeight w:val="314"/>
        </w:trPr>
        <w:tc>
          <w:tcPr>
            <w:tcW w:w="15570" w:type="dxa"/>
            <w:gridSpan w:val="13"/>
          </w:tcPr>
          <w:p w14:paraId="7A475BFC" w14:textId="77777777" w:rsidR="006647F4" w:rsidRDefault="006647F4" w:rsidP="004D035C">
            <w:r w:rsidRPr="00236B5D">
              <w:rPr>
                <w:b/>
                <w:color w:val="00B0F0"/>
              </w:rPr>
              <w:t>Immunosuppression</w:t>
            </w:r>
          </w:p>
        </w:tc>
      </w:tr>
      <w:tr w:rsidR="006647F4" w14:paraId="7A8B7334" w14:textId="77777777" w:rsidTr="006647F4">
        <w:trPr>
          <w:gridAfter w:val="1"/>
          <w:wAfter w:w="7" w:type="dxa"/>
          <w:trHeight w:val="332"/>
        </w:trPr>
        <w:tc>
          <w:tcPr>
            <w:tcW w:w="2456" w:type="dxa"/>
          </w:tcPr>
          <w:p w14:paraId="1AE45FF3" w14:textId="77777777" w:rsidR="006647F4" w:rsidRDefault="006647F4" w:rsidP="004D035C">
            <w:r>
              <w:t>Prednisone</w:t>
            </w:r>
          </w:p>
        </w:tc>
        <w:tc>
          <w:tcPr>
            <w:tcW w:w="1111" w:type="dxa"/>
          </w:tcPr>
          <w:p w14:paraId="46419C2F" w14:textId="77777777" w:rsidR="006647F4" w:rsidRDefault="006647F4" w:rsidP="004D035C">
            <w:r>
              <w:t>20mg daily</w:t>
            </w:r>
          </w:p>
        </w:tc>
        <w:tc>
          <w:tcPr>
            <w:tcW w:w="1046" w:type="dxa"/>
          </w:tcPr>
          <w:p w14:paraId="5E1185AC" w14:textId="77777777" w:rsidR="006647F4" w:rsidRDefault="006647F4" w:rsidP="004D035C">
            <w:r>
              <w:t>20mg daily</w:t>
            </w:r>
          </w:p>
        </w:tc>
        <w:tc>
          <w:tcPr>
            <w:tcW w:w="968" w:type="dxa"/>
          </w:tcPr>
          <w:p w14:paraId="61420614" w14:textId="77777777" w:rsidR="006647F4" w:rsidRDefault="006647F4" w:rsidP="004D035C">
            <w:r>
              <w:t xml:space="preserve">20mg </w:t>
            </w:r>
          </w:p>
          <w:p w14:paraId="3CF00B00" w14:textId="77777777" w:rsidR="006647F4" w:rsidRDefault="006647F4" w:rsidP="004D035C">
            <w:r>
              <w:t>Daily</w:t>
            </w:r>
          </w:p>
        </w:tc>
        <w:tc>
          <w:tcPr>
            <w:tcW w:w="1271" w:type="dxa"/>
          </w:tcPr>
          <w:p w14:paraId="5FE2E1C1" w14:textId="77777777" w:rsidR="006647F4" w:rsidRDefault="006647F4" w:rsidP="004D035C">
            <w:r>
              <w:t>20mg</w:t>
            </w:r>
          </w:p>
          <w:p w14:paraId="1DFB9264" w14:textId="77777777" w:rsidR="006647F4" w:rsidRDefault="006647F4" w:rsidP="004D035C">
            <w:r>
              <w:t>daily</w:t>
            </w:r>
          </w:p>
        </w:tc>
        <w:tc>
          <w:tcPr>
            <w:tcW w:w="1371" w:type="dxa"/>
          </w:tcPr>
          <w:p w14:paraId="572BC1AC" w14:textId="77777777" w:rsidR="006647F4" w:rsidRDefault="006647F4" w:rsidP="004D035C">
            <w:r>
              <w:t>10mg</w:t>
            </w:r>
          </w:p>
          <w:p w14:paraId="44B1B7EE" w14:textId="77777777" w:rsidR="006647F4" w:rsidRDefault="006647F4" w:rsidP="004D035C">
            <w:r>
              <w:t>Daily</w:t>
            </w:r>
          </w:p>
        </w:tc>
        <w:tc>
          <w:tcPr>
            <w:tcW w:w="1095" w:type="dxa"/>
          </w:tcPr>
          <w:p w14:paraId="70E9F422" w14:textId="77777777" w:rsidR="006647F4" w:rsidRDefault="006647F4" w:rsidP="004D035C">
            <w:r>
              <w:t xml:space="preserve">10mg </w:t>
            </w:r>
          </w:p>
          <w:p w14:paraId="5A47B1EA" w14:textId="77777777" w:rsidR="006647F4" w:rsidRDefault="006647F4" w:rsidP="004D035C">
            <w:r>
              <w:t>Daily</w:t>
            </w:r>
          </w:p>
        </w:tc>
        <w:tc>
          <w:tcPr>
            <w:tcW w:w="1271" w:type="dxa"/>
          </w:tcPr>
          <w:p w14:paraId="0B8137B3" w14:textId="77777777" w:rsidR="006647F4" w:rsidRDefault="006647F4" w:rsidP="004D035C">
            <w:r>
              <w:t>10mg</w:t>
            </w:r>
          </w:p>
          <w:p w14:paraId="774291C2" w14:textId="77777777" w:rsidR="006647F4" w:rsidRDefault="006647F4" w:rsidP="004D035C">
            <w:r>
              <w:t>Daily</w:t>
            </w:r>
          </w:p>
        </w:tc>
        <w:tc>
          <w:tcPr>
            <w:tcW w:w="1399" w:type="dxa"/>
          </w:tcPr>
          <w:p w14:paraId="4FDEC779" w14:textId="77777777" w:rsidR="006647F4" w:rsidRDefault="006647F4" w:rsidP="004D035C">
            <w:r>
              <w:t xml:space="preserve">10mg </w:t>
            </w:r>
          </w:p>
          <w:p w14:paraId="30973A82" w14:textId="77777777" w:rsidR="006647F4" w:rsidRDefault="006647F4" w:rsidP="004D035C">
            <w:r>
              <w:t>Daily</w:t>
            </w:r>
          </w:p>
        </w:tc>
        <w:tc>
          <w:tcPr>
            <w:tcW w:w="1147" w:type="dxa"/>
          </w:tcPr>
          <w:p w14:paraId="34AC66FE" w14:textId="77777777" w:rsidR="006647F4" w:rsidRDefault="006647F4" w:rsidP="004D035C">
            <w:r>
              <w:t>5mg</w:t>
            </w:r>
          </w:p>
          <w:p w14:paraId="54F7E8FA" w14:textId="77777777" w:rsidR="006647F4" w:rsidRDefault="006647F4" w:rsidP="004D035C">
            <w:r>
              <w:t xml:space="preserve">Daily </w:t>
            </w:r>
          </w:p>
        </w:tc>
        <w:tc>
          <w:tcPr>
            <w:tcW w:w="1425" w:type="dxa"/>
          </w:tcPr>
          <w:p w14:paraId="45B19C55" w14:textId="77777777" w:rsidR="006647F4" w:rsidRPr="00236B5D" w:rsidRDefault="006647F4" w:rsidP="004D035C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>refer to note (#1) below*</w:t>
            </w:r>
          </w:p>
        </w:tc>
        <w:tc>
          <w:tcPr>
            <w:tcW w:w="1003" w:type="dxa"/>
          </w:tcPr>
          <w:p w14:paraId="49C736BB" w14:textId="77777777" w:rsidR="006647F4" w:rsidRDefault="006647F4" w:rsidP="004D035C"/>
        </w:tc>
      </w:tr>
      <w:tr w:rsidR="006647F4" w14:paraId="2A0B13B4" w14:textId="77777777" w:rsidTr="006647F4">
        <w:trPr>
          <w:trHeight w:val="1496"/>
        </w:trPr>
        <w:tc>
          <w:tcPr>
            <w:tcW w:w="2456" w:type="dxa"/>
          </w:tcPr>
          <w:p w14:paraId="52CF98D6" w14:textId="77777777" w:rsidR="006647F4" w:rsidRPr="00CF3C51" w:rsidRDefault="006647F4" w:rsidP="004D035C">
            <w:pPr>
              <w:rPr>
                <w:sz w:val="16"/>
                <w:szCs w:val="16"/>
              </w:rPr>
            </w:pPr>
            <w:r>
              <w:t>Tacrolimus/prograf (target level)*</w:t>
            </w:r>
            <w:r>
              <w:rPr>
                <w:sz w:val="16"/>
                <w:szCs w:val="16"/>
              </w:rPr>
              <w:t>refer to note (#2) for dosing.</w:t>
            </w:r>
          </w:p>
        </w:tc>
        <w:tc>
          <w:tcPr>
            <w:tcW w:w="10679" w:type="dxa"/>
            <w:gridSpan w:val="9"/>
          </w:tcPr>
          <w:p w14:paraId="012728D5" w14:textId="77777777" w:rsidR="006647F4" w:rsidRDefault="006647F4" w:rsidP="004D035C">
            <w:pPr>
              <w:jc w:val="center"/>
            </w:pPr>
            <w:r>
              <w:t>8-12</w:t>
            </w:r>
          </w:p>
          <w:p w14:paraId="565613BF" w14:textId="77777777" w:rsidR="006647F4" w:rsidRDefault="006647F4" w:rsidP="004D035C"/>
        </w:tc>
        <w:tc>
          <w:tcPr>
            <w:tcW w:w="1425" w:type="dxa"/>
          </w:tcPr>
          <w:p w14:paraId="3F407236" w14:textId="77777777" w:rsidR="006647F4" w:rsidRDefault="006647F4" w:rsidP="004D035C">
            <w:r>
              <w:t>6-8</w:t>
            </w:r>
          </w:p>
          <w:p w14:paraId="266A4F2B" w14:textId="77777777" w:rsidR="006647F4" w:rsidRDefault="006647F4" w:rsidP="004D035C"/>
        </w:tc>
        <w:tc>
          <w:tcPr>
            <w:tcW w:w="1010" w:type="dxa"/>
            <w:gridSpan w:val="2"/>
          </w:tcPr>
          <w:p w14:paraId="576BFE62" w14:textId="77777777" w:rsidR="006647F4" w:rsidRPr="00CF3C51" w:rsidRDefault="006647F4" w:rsidP="004D035C">
            <w:pPr>
              <w:rPr>
                <w:sz w:val="16"/>
                <w:szCs w:val="16"/>
              </w:rPr>
            </w:pPr>
            <w:r>
              <w:t>6-8 *</w:t>
            </w:r>
            <w:r>
              <w:rPr>
                <w:sz w:val="16"/>
                <w:szCs w:val="16"/>
              </w:rPr>
              <w:t>refer to note (#3) below</w:t>
            </w:r>
          </w:p>
          <w:p w14:paraId="650AE6AB" w14:textId="77777777" w:rsidR="006647F4" w:rsidRDefault="006647F4" w:rsidP="004D035C">
            <w:r>
              <w:t>3-5</w:t>
            </w:r>
          </w:p>
          <w:p w14:paraId="6E400BA1" w14:textId="77777777" w:rsidR="006647F4" w:rsidRPr="00CF3C51" w:rsidRDefault="006647F4" w:rsidP="004D035C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>refer to note (#4) below</w:t>
            </w:r>
          </w:p>
        </w:tc>
      </w:tr>
      <w:tr w:rsidR="006647F4" w14:paraId="36F34E35" w14:textId="77777777" w:rsidTr="006647F4">
        <w:trPr>
          <w:trHeight w:val="332"/>
        </w:trPr>
        <w:tc>
          <w:tcPr>
            <w:tcW w:w="2456" w:type="dxa"/>
          </w:tcPr>
          <w:p w14:paraId="05FFAFBE" w14:textId="77777777" w:rsidR="006647F4" w:rsidRDefault="006647F4" w:rsidP="004D035C">
            <w:r>
              <w:t xml:space="preserve">Mycophenolate </w:t>
            </w:r>
            <w:proofErr w:type="spellStart"/>
            <w:r>
              <w:t>mofetil</w:t>
            </w:r>
            <w:proofErr w:type="spellEnd"/>
            <w:r>
              <w:t xml:space="preserve"> (MMF/</w:t>
            </w:r>
            <w:proofErr w:type="spellStart"/>
            <w:r>
              <w:t>CellCept</w:t>
            </w:r>
            <w:proofErr w:type="spellEnd"/>
            <w:r>
              <w:t>)</w:t>
            </w:r>
          </w:p>
        </w:tc>
        <w:tc>
          <w:tcPr>
            <w:tcW w:w="13114" w:type="dxa"/>
            <w:gridSpan w:val="12"/>
          </w:tcPr>
          <w:p w14:paraId="3D05CD36" w14:textId="77777777" w:rsidR="006647F4" w:rsidRDefault="006647F4" w:rsidP="004D035C">
            <w:pPr>
              <w:jc w:val="center"/>
            </w:pPr>
            <w:r>
              <w:t>1000mg</w:t>
            </w:r>
          </w:p>
          <w:p w14:paraId="229E6B82" w14:textId="77777777" w:rsidR="006647F4" w:rsidRDefault="006647F4" w:rsidP="004D035C">
            <w:pPr>
              <w:jc w:val="center"/>
            </w:pPr>
            <w:r>
              <w:t>BID</w:t>
            </w:r>
          </w:p>
          <w:p w14:paraId="328F1A5E" w14:textId="77777777" w:rsidR="006647F4" w:rsidRDefault="006647F4" w:rsidP="004D035C"/>
        </w:tc>
      </w:tr>
      <w:tr w:rsidR="006647F4" w14:paraId="09B5FFD6" w14:textId="77777777" w:rsidTr="006647F4">
        <w:trPr>
          <w:trHeight w:val="314"/>
        </w:trPr>
        <w:tc>
          <w:tcPr>
            <w:tcW w:w="2456" w:type="dxa"/>
          </w:tcPr>
          <w:p w14:paraId="2F0C1ABA" w14:textId="77777777" w:rsidR="006647F4" w:rsidRDefault="006647F4" w:rsidP="004D035C">
            <w:proofErr w:type="spellStart"/>
            <w:r>
              <w:t>Basiliximab</w:t>
            </w:r>
            <w:proofErr w:type="spellEnd"/>
            <w:r>
              <w:t>(</w:t>
            </w:r>
            <w:proofErr w:type="spellStart"/>
            <w:r>
              <w:t>Simulect</w:t>
            </w:r>
            <w:proofErr w:type="spellEnd"/>
            <w:r>
              <w:t>); renal sparing</w:t>
            </w:r>
          </w:p>
        </w:tc>
        <w:tc>
          <w:tcPr>
            <w:tcW w:w="13114" w:type="dxa"/>
            <w:gridSpan w:val="12"/>
          </w:tcPr>
          <w:p w14:paraId="7E6A1261" w14:textId="77777777" w:rsidR="006647F4" w:rsidRDefault="006647F4" w:rsidP="004D035C">
            <w:r>
              <w:t xml:space="preserve">All patients with renal insufficiency: CrCl &lt;60 ml/min, </w:t>
            </w:r>
            <w:proofErr w:type="spellStart"/>
            <w:r>
              <w:t>Scr</w:t>
            </w:r>
            <w:proofErr w:type="spellEnd"/>
            <w:r>
              <w:t xml:space="preserve"> &gt; 1.5, will receive 20mg after reperfusion in the OR and second dose of 20mg on POD #4</w:t>
            </w:r>
          </w:p>
          <w:p w14:paraId="46501803" w14:textId="77777777" w:rsidR="006647F4" w:rsidRPr="0048553A" w:rsidRDefault="006647F4" w:rsidP="004D035C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please refer to Post Liver Transplant Inpatient </w:t>
            </w:r>
            <w:proofErr w:type="spellStart"/>
            <w:r>
              <w:rPr>
                <w:sz w:val="16"/>
                <w:szCs w:val="16"/>
              </w:rPr>
              <w:t>Immosuppression</w:t>
            </w:r>
            <w:proofErr w:type="spellEnd"/>
            <w:r>
              <w:rPr>
                <w:sz w:val="16"/>
                <w:szCs w:val="16"/>
              </w:rPr>
              <w:t xml:space="preserve"> Protocol for more details.</w:t>
            </w:r>
          </w:p>
        </w:tc>
      </w:tr>
      <w:tr w:rsidR="006647F4" w14:paraId="1279F677" w14:textId="77777777" w:rsidTr="006647F4">
        <w:trPr>
          <w:trHeight w:val="314"/>
        </w:trPr>
        <w:tc>
          <w:tcPr>
            <w:tcW w:w="2456" w:type="dxa"/>
          </w:tcPr>
          <w:p w14:paraId="262478EE" w14:textId="77777777" w:rsidR="006647F4" w:rsidRDefault="006647F4" w:rsidP="004D035C">
            <w:r>
              <w:t>Alloantibody Screen</w:t>
            </w:r>
          </w:p>
        </w:tc>
        <w:tc>
          <w:tcPr>
            <w:tcW w:w="13114" w:type="dxa"/>
            <w:gridSpan w:val="12"/>
          </w:tcPr>
          <w:p w14:paraId="6040012D" w14:textId="37ED46EF" w:rsidR="006647F4" w:rsidRDefault="009F502A" w:rsidP="004D035C">
            <w:r>
              <w:t>Collected on: month 3</w:t>
            </w:r>
            <w:r w:rsidR="006647F4">
              <w:t>, month 6, month 12 and annually for liver/kidney patients</w:t>
            </w:r>
          </w:p>
        </w:tc>
      </w:tr>
    </w:tbl>
    <w:p w14:paraId="763FD7E6" w14:textId="3FB8A6EC" w:rsidR="006647F4" w:rsidRDefault="006647F4" w:rsidP="00B80C39">
      <w:pPr>
        <w:pStyle w:val="ListParagraph"/>
      </w:pPr>
    </w:p>
    <w:p w14:paraId="1410F5A5" w14:textId="77777777" w:rsidR="006C6ABD" w:rsidRDefault="006C6ABD" w:rsidP="006C6ABD"/>
    <w:tbl>
      <w:tblPr>
        <w:tblStyle w:val="TableGrid"/>
        <w:tblpPr w:leftFromText="180" w:rightFromText="180" w:vertAnchor="text" w:horzAnchor="margin" w:tblpX="-545" w:tblpY="116"/>
        <w:tblW w:w="5314" w:type="pct"/>
        <w:tblLook w:val="04A0" w:firstRow="1" w:lastRow="0" w:firstColumn="1" w:lastColumn="0" w:noHBand="0" w:noVBand="1"/>
      </w:tblPr>
      <w:tblGrid>
        <w:gridCol w:w="3604"/>
        <w:gridCol w:w="2667"/>
        <w:gridCol w:w="2667"/>
        <w:gridCol w:w="2667"/>
        <w:gridCol w:w="3689"/>
      </w:tblGrid>
      <w:tr w:rsidR="006C6ABD" w14:paraId="56C50D83" w14:textId="77777777" w:rsidTr="00163E7A">
        <w:trPr>
          <w:trHeight w:val="577"/>
        </w:trPr>
        <w:tc>
          <w:tcPr>
            <w:tcW w:w="1178" w:type="pct"/>
          </w:tcPr>
          <w:p w14:paraId="69AC73A9" w14:textId="77777777" w:rsidR="006C6ABD" w:rsidRPr="00AA4793" w:rsidRDefault="006C6ABD" w:rsidP="00163E7A">
            <w:pPr>
              <w:rPr>
                <w:b/>
              </w:rPr>
            </w:pPr>
            <w:r w:rsidRPr="00AA4793">
              <w:rPr>
                <w:b/>
                <w:color w:val="00B0F0"/>
              </w:rPr>
              <w:t>IMMUNOSUPPRESSIVE LEVELS</w:t>
            </w:r>
          </w:p>
        </w:tc>
        <w:tc>
          <w:tcPr>
            <w:tcW w:w="872" w:type="pct"/>
          </w:tcPr>
          <w:p w14:paraId="17DE077E" w14:textId="77777777" w:rsidR="006C6ABD" w:rsidRPr="001D1F69" w:rsidRDefault="006C6ABD" w:rsidP="00163E7A">
            <w:pPr>
              <w:rPr>
                <w:b/>
                <w:color w:val="1F4E79" w:themeColor="accent1" w:themeShade="80"/>
              </w:rPr>
            </w:pPr>
            <w:r w:rsidRPr="001D1F69">
              <w:rPr>
                <w:b/>
                <w:color w:val="1F4E79" w:themeColor="accent1" w:themeShade="80"/>
              </w:rPr>
              <w:t>0-3 Months</w:t>
            </w:r>
          </w:p>
        </w:tc>
        <w:tc>
          <w:tcPr>
            <w:tcW w:w="872" w:type="pct"/>
          </w:tcPr>
          <w:p w14:paraId="3BD2323C" w14:textId="77777777" w:rsidR="006C6ABD" w:rsidRPr="001D1F69" w:rsidRDefault="006C6ABD" w:rsidP="00163E7A">
            <w:pPr>
              <w:rPr>
                <w:b/>
                <w:color w:val="1F4E79" w:themeColor="accent1" w:themeShade="80"/>
              </w:rPr>
            </w:pPr>
            <w:r w:rsidRPr="001D1F69">
              <w:rPr>
                <w:b/>
                <w:color w:val="1F4E79" w:themeColor="accent1" w:themeShade="80"/>
              </w:rPr>
              <w:t>3-6 Months</w:t>
            </w:r>
          </w:p>
        </w:tc>
        <w:tc>
          <w:tcPr>
            <w:tcW w:w="872" w:type="pct"/>
          </w:tcPr>
          <w:p w14:paraId="09DDE9E3" w14:textId="77777777" w:rsidR="006C6ABD" w:rsidRPr="001D1F69" w:rsidRDefault="006C6ABD" w:rsidP="00163E7A">
            <w:pPr>
              <w:rPr>
                <w:b/>
                <w:color w:val="1F4E79" w:themeColor="accent1" w:themeShade="80"/>
              </w:rPr>
            </w:pPr>
            <w:r w:rsidRPr="001D1F69">
              <w:rPr>
                <w:b/>
                <w:color w:val="1F4E79" w:themeColor="accent1" w:themeShade="80"/>
              </w:rPr>
              <w:t>6-12 Months</w:t>
            </w:r>
          </w:p>
        </w:tc>
        <w:tc>
          <w:tcPr>
            <w:tcW w:w="1206" w:type="pct"/>
          </w:tcPr>
          <w:p w14:paraId="216264E3" w14:textId="77777777" w:rsidR="006C6ABD" w:rsidRPr="001D1F69" w:rsidRDefault="006C6ABD" w:rsidP="00163E7A">
            <w:pPr>
              <w:rPr>
                <w:b/>
                <w:color w:val="1F4E79" w:themeColor="accent1" w:themeShade="80"/>
              </w:rPr>
            </w:pPr>
            <w:r w:rsidRPr="001D1F69">
              <w:rPr>
                <w:b/>
                <w:color w:val="1F4E79" w:themeColor="accent1" w:themeShade="80"/>
              </w:rPr>
              <w:t>&gt;1 year</w:t>
            </w:r>
          </w:p>
        </w:tc>
      </w:tr>
      <w:tr w:rsidR="006C6ABD" w14:paraId="19F189CE" w14:textId="77777777" w:rsidTr="00163E7A">
        <w:trPr>
          <w:trHeight w:val="544"/>
        </w:trPr>
        <w:tc>
          <w:tcPr>
            <w:tcW w:w="5000" w:type="pct"/>
            <w:gridSpan w:val="5"/>
          </w:tcPr>
          <w:p w14:paraId="60A44B81" w14:textId="77777777" w:rsidR="006C6ABD" w:rsidRDefault="006C6ABD" w:rsidP="00163E7A">
            <w:r w:rsidRPr="00AA4793">
              <w:rPr>
                <w:b/>
              </w:rPr>
              <w:t>Drug</w:t>
            </w:r>
          </w:p>
        </w:tc>
      </w:tr>
      <w:tr w:rsidR="006C6ABD" w14:paraId="177278BF" w14:textId="77777777" w:rsidTr="00163E7A">
        <w:trPr>
          <w:trHeight w:val="577"/>
        </w:trPr>
        <w:tc>
          <w:tcPr>
            <w:tcW w:w="1178" w:type="pct"/>
          </w:tcPr>
          <w:p w14:paraId="62405390" w14:textId="77777777" w:rsidR="006C6ABD" w:rsidRDefault="006C6ABD" w:rsidP="00163E7A">
            <w:r>
              <w:t>Tacrolimus(Prograf)*</w:t>
            </w:r>
          </w:p>
        </w:tc>
        <w:tc>
          <w:tcPr>
            <w:tcW w:w="872" w:type="pct"/>
          </w:tcPr>
          <w:p w14:paraId="58D2B033" w14:textId="77777777" w:rsidR="006C6ABD" w:rsidRDefault="006C6ABD" w:rsidP="00163E7A">
            <w:r>
              <w:t>Level 8-12</w:t>
            </w:r>
          </w:p>
        </w:tc>
        <w:tc>
          <w:tcPr>
            <w:tcW w:w="872" w:type="pct"/>
          </w:tcPr>
          <w:p w14:paraId="25BE7C28" w14:textId="77777777" w:rsidR="006C6ABD" w:rsidRDefault="006C6ABD" w:rsidP="00163E7A">
            <w:r>
              <w:t>Level 6-8</w:t>
            </w:r>
          </w:p>
        </w:tc>
        <w:tc>
          <w:tcPr>
            <w:tcW w:w="872" w:type="pct"/>
          </w:tcPr>
          <w:p w14:paraId="17ADC607" w14:textId="77777777" w:rsidR="006C6ABD" w:rsidRDefault="006C6ABD" w:rsidP="00163E7A">
            <w:r>
              <w:t>Level 6-8</w:t>
            </w:r>
          </w:p>
        </w:tc>
        <w:tc>
          <w:tcPr>
            <w:tcW w:w="1206" w:type="pct"/>
          </w:tcPr>
          <w:p w14:paraId="0092B691" w14:textId="77777777" w:rsidR="006C6ABD" w:rsidRDefault="006C6ABD" w:rsidP="00163E7A">
            <w:r>
              <w:t>Level 3-5</w:t>
            </w:r>
          </w:p>
        </w:tc>
      </w:tr>
      <w:tr w:rsidR="006C6ABD" w14:paraId="5F96B341" w14:textId="77777777" w:rsidTr="00163E7A">
        <w:trPr>
          <w:trHeight w:val="544"/>
        </w:trPr>
        <w:tc>
          <w:tcPr>
            <w:tcW w:w="1178" w:type="pct"/>
          </w:tcPr>
          <w:p w14:paraId="1D8F0757" w14:textId="77777777" w:rsidR="006C6ABD" w:rsidRDefault="006C6ABD" w:rsidP="00163E7A">
            <w:r>
              <w:t>Cyclosporine (</w:t>
            </w:r>
            <w:proofErr w:type="spellStart"/>
            <w:r>
              <w:t>Gengraf</w:t>
            </w:r>
            <w:proofErr w:type="spellEnd"/>
            <w:r>
              <w:t>)*</w:t>
            </w:r>
          </w:p>
        </w:tc>
        <w:tc>
          <w:tcPr>
            <w:tcW w:w="872" w:type="pct"/>
          </w:tcPr>
          <w:p w14:paraId="13194C51" w14:textId="77777777" w:rsidR="006C6ABD" w:rsidRDefault="006C6ABD" w:rsidP="00163E7A">
            <w:r>
              <w:t xml:space="preserve">Level 150-180 </w:t>
            </w:r>
          </w:p>
        </w:tc>
        <w:tc>
          <w:tcPr>
            <w:tcW w:w="872" w:type="pct"/>
          </w:tcPr>
          <w:p w14:paraId="4C9187FE" w14:textId="77777777" w:rsidR="006C6ABD" w:rsidRDefault="006C6ABD" w:rsidP="00163E7A">
            <w:r>
              <w:t>Level 100-150</w:t>
            </w:r>
          </w:p>
        </w:tc>
        <w:tc>
          <w:tcPr>
            <w:tcW w:w="872" w:type="pct"/>
          </w:tcPr>
          <w:p w14:paraId="061B0530" w14:textId="77777777" w:rsidR="006C6ABD" w:rsidRDefault="006C6ABD" w:rsidP="00163E7A">
            <w:r>
              <w:t>Level 75-125</w:t>
            </w:r>
          </w:p>
        </w:tc>
        <w:tc>
          <w:tcPr>
            <w:tcW w:w="1206" w:type="pct"/>
          </w:tcPr>
          <w:p w14:paraId="55A2BF6E" w14:textId="77777777" w:rsidR="006C6ABD" w:rsidRDefault="006C6ABD" w:rsidP="00163E7A">
            <w:r>
              <w:t>Level 50-100</w:t>
            </w:r>
          </w:p>
        </w:tc>
      </w:tr>
      <w:tr w:rsidR="006C6ABD" w14:paraId="2B9306CE" w14:textId="77777777" w:rsidTr="00163E7A">
        <w:trPr>
          <w:trHeight w:val="577"/>
        </w:trPr>
        <w:tc>
          <w:tcPr>
            <w:tcW w:w="1178" w:type="pct"/>
          </w:tcPr>
          <w:p w14:paraId="3367ABB7" w14:textId="77777777" w:rsidR="006C6ABD" w:rsidRDefault="006C6ABD" w:rsidP="00163E7A">
            <w:r>
              <w:t>Sirolimus (</w:t>
            </w:r>
            <w:proofErr w:type="spellStart"/>
            <w:r>
              <w:t>Rapamune</w:t>
            </w:r>
            <w:proofErr w:type="spellEnd"/>
            <w:r>
              <w:t>)*</w:t>
            </w:r>
          </w:p>
          <w:p w14:paraId="2B3362EC" w14:textId="77777777" w:rsidR="006C6ABD" w:rsidRDefault="006C6ABD" w:rsidP="00163E7A">
            <w:proofErr w:type="spellStart"/>
            <w:r>
              <w:t>Everolimus</w:t>
            </w:r>
            <w:proofErr w:type="spellEnd"/>
            <w:r>
              <w:t>(</w:t>
            </w:r>
            <w:proofErr w:type="spellStart"/>
            <w:r>
              <w:t>Zortress</w:t>
            </w:r>
            <w:proofErr w:type="spellEnd"/>
            <w:r>
              <w:t>)*</w:t>
            </w:r>
          </w:p>
        </w:tc>
        <w:tc>
          <w:tcPr>
            <w:tcW w:w="872" w:type="pct"/>
          </w:tcPr>
          <w:p w14:paraId="6D66D099" w14:textId="77777777" w:rsidR="006C6ABD" w:rsidRDefault="006C6ABD" w:rsidP="00163E7A">
            <w:r>
              <w:t>Level 8-12</w:t>
            </w:r>
          </w:p>
        </w:tc>
        <w:tc>
          <w:tcPr>
            <w:tcW w:w="872" w:type="pct"/>
          </w:tcPr>
          <w:p w14:paraId="1C5D67C2" w14:textId="77777777" w:rsidR="006C6ABD" w:rsidRDefault="006C6ABD" w:rsidP="00163E7A">
            <w:r>
              <w:t>Level 6-12</w:t>
            </w:r>
          </w:p>
        </w:tc>
        <w:tc>
          <w:tcPr>
            <w:tcW w:w="872" w:type="pct"/>
          </w:tcPr>
          <w:p w14:paraId="46623FCA" w14:textId="77777777" w:rsidR="006C6ABD" w:rsidRDefault="006C6ABD" w:rsidP="00163E7A">
            <w:r>
              <w:t>Level 4-10</w:t>
            </w:r>
          </w:p>
        </w:tc>
        <w:tc>
          <w:tcPr>
            <w:tcW w:w="1206" w:type="pct"/>
          </w:tcPr>
          <w:p w14:paraId="4235F8B5" w14:textId="77777777" w:rsidR="006C6ABD" w:rsidRDefault="006C6ABD" w:rsidP="00163E7A">
            <w:r>
              <w:t>Level 3-8</w:t>
            </w:r>
          </w:p>
        </w:tc>
      </w:tr>
      <w:tr w:rsidR="006C6ABD" w14:paraId="5B26365F" w14:textId="77777777" w:rsidTr="00163E7A">
        <w:trPr>
          <w:trHeight w:val="577"/>
        </w:trPr>
        <w:tc>
          <w:tcPr>
            <w:tcW w:w="1178" w:type="pct"/>
          </w:tcPr>
          <w:p w14:paraId="4278D884" w14:textId="77777777" w:rsidR="006C6ABD" w:rsidRDefault="006C6ABD" w:rsidP="00163E7A">
            <w:r>
              <w:t>MMF (Cellcept)*</w:t>
            </w:r>
          </w:p>
        </w:tc>
        <w:tc>
          <w:tcPr>
            <w:tcW w:w="3822" w:type="pct"/>
            <w:gridSpan w:val="4"/>
          </w:tcPr>
          <w:p w14:paraId="311704F7" w14:textId="77777777" w:rsidR="006C6ABD" w:rsidRDefault="006C6ABD" w:rsidP="00163E7A">
            <w:pPr>
              <w:jc w:val="center"/>
            </w:pPr>
            <w:r>
              <w:t>1000mg</w:t>
            </w:r>
          </w:p>
        </w:tc>
      </w:tr>
    </w:tbl>
    <w:p w14:paraId="6400AEA8" w14:textId="77777777" w:rsidR="006C6ABD" w:rsidRDefault="006C6ABD" w:rsidP="006C6ABD"/>
    <w:p w14:paraId="09393C33" w14:textId="77777777" w:rsidR="006C6ABD" w:rsidRDefault="006C6ABD" w:rsidP="006C6ABD">
      <w:pPr>
        <w:rPr>
          <w:b/>
          <w:u w:val="single"/>
        </w:rPr>
      </w:pPr>
    </w:p>
    <w:p w14:paraId="73C729D8" w14:textId="77777777" w:rsidR="006C6ABD" w:rsidRDefault="006C6ABD" w:rsidP="006C6ABD">
      <w:pPr>
        <w:pStyle w:val="ListParagraph"/>
        <w:numPr>
          <w:ilvl w:val="0"/>
          <w:numId w:val="17"/>
        </w:numPr>
      </w:pPr>
      <w:r>
        <w:t>The  use of generic immunosuppressant is allowed. The transplant team encourages patients to take generics from the same manufacturer, when possible, to minimize potential effects on trough levels</w:t>
      </w:r>
    </w:p>
    <w:p w14:paraId="3A9D41F3" w14:textId="77777777" w:rsidR="006C6ABD" w:rsidRDefault="006C6ABD" w:rsidP="006C6ABD">
      <w:pPr>
        <w:pStyle w:val="ListParagraph"/>
        <w:numPr>
          <w:ilvl w:val="0"/>
          <w:numId w:val="17"/>
        </w:numPr>
      </w:pPr>
      <w:r>
        <w:t>Consider decreasing or eliminating MMF (</w:t>
      </w:r>
      <w:proofErr w:type="spellStart"/>
      <w:r>
        <w:t>cellcept</w:t>
      </w:r>
      <w:proofErr w:type="spellEnd"/>
      <w:r>
        <w:t xml:space="preserve">) after 1 year post transplant on a case by case basis. </w:t>
      </w:r>
    </w:p>
    <w:p w14:paraId="3DF7D222" w14:textId="77777777" w:rsidR="006C6ABD" w:rsidRDefault="006C6ABD" w:rsidP="006C6ABD">
      <w:pPr>
        <w:pStyle w:val="ListParagraph"/>
        <w:numPr>
          <w:ilvl w:val="0"/>
          <w:numId w:val="17"/>
        </w:numPr>
      </w:pPr>
      <w:r>
        <w:t xml:space="preserve">Immunosuppressive regimes will be individualized on a case by case basis based on creatinine, serum potassium, liver function profile, history of rejection, MCV status and/or underlying disease process. </w:t>
      </w:r>
    </w:p>
    <w:p w14:paraId="5DF244A1" w14:textId="77777777" w:rsidR="00702667" w:rsidRDefault="00702667" w:rsidP="00702667">
      <w:pPr>
        <w:pStyle w:val="ListParagraph"/>
      </w:pPr>
    </w:p>
    <w:p w14:paraId="323FC46C" w14:textId="77777777" w:rsidR="00702667" w:rsidRDefault="00702667" w:rsidP="00702667">
      <w:pPr>
        <w:pStyle w:val="ListParagraph"/>
        <w:pBdr>
          <w:bottom w:val="single" w:sz="4" w:space="1" w:color="auto"/>
        </w:pBdr>
      </w:pPr>
    </w:p>
    <w:p w14:paraId="0A898990" w14:textId="77777777" w:rsidR="006C6ABD" w:rsidRDefault="006C6ABD" w:rsidP="00B80C39">
      <w:pPr>
        <w:pStyle w:val="ListParagraph"/>
      </w:pPr>
    </w:p>
    <w:p w14:paraId="596F0B4A" w14:textId="357DBB09" w:rsidR="006C6ABD" w:rsidRPr="006015CE" w:rsidRDefault="00EE67A9" w:rsidP="00B80C39">
      <w:pPr>
        <w:pStyle w:val="ListParagraph"/>
        <w:rPr>
          <w:b/>
          <w:u w:val="single"/>
        </w:rPr>
      </w:pPr>
      <w:r>
        <w:rPr>
          <w:b/>
          <w:u w:val="single"/>
        </w:rPr>
        <w:t>ID PROPHYLAXIS-</w:t>
      </w:r>
    </w:p>
    <w:tbl>
      <w:tblPr>
        <w:tblStyle w:val="TableGrid"/>
        <w:tblW w:w="15674" w:type="dxa"/>
        <w:tblInd w:w="-640" w:type="dxa"/>
        <w:tblLook w:val="04A0" w:firstRow="1" w:lastRow="0" w:firstColumn="1" w:lastColumn="0" w:noHBand="0" w:noVBand="1"/>
      </w:tblPr>
      <w:tblGrid>
        <w:gridCol w:w="2250"/>
        <w:gridCol w:w="1080"/>
        <w:gridCol w:w="1485"/>
        <w:gridCol w:w="1321"/>
        <w:gridCol w:w="1192"/>
        <w:gridCol w:w="1192"/>
        <w:gridCol w:w="1192"/>
        <w:gridCol w:w="1192"/>
        <w:gridCol w:w="1192"/>
        <w:gridCol w:w="1192"/>
        <w:gridCol w:w="1193"/>
        <w:gridCol w:w="1193"/>
      </w:tblGrid>
      <w:tr w:rsidR="006647F4" w14:paraId="31C3328F" w14:textId="77777777" w:rsidTr="006647F4">
        <w:trPr>
          <w:trHeight w:val="403"/>
        </w:trPr>
        <w:tc>
          <w:tcPr>
            <w:tcW w:w="2250" w:type="dxa"/>
          </w:tcPr>
          <w:p w14:paraId="65DC5D0A" w14:textId="77777777" w:rsidR="006647F4" w:rsidRDefault="006647F4" w:rsidP="004D035C"/>
        </w:tc>
        <w:tc>
          <w:tcPr>
            <w:tcW w:w="1080" w:type="dxa"/>
          </w:tcPr>
          <w:p w14:paraId="51EA24A5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1</w:t>
            </w:r>
          </w:p>
        </w:tc>
        <w:tc>
          <w:tcPr>
            <w:tcW w:w="1485" w:type="dxa"/>
          </w:tcPr>
          <w:p w14:paraId="1E8CA9E1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2</w:t>
            </w:r>
          </w:p>
        </w:tc>
        <w:tc>
          <w:tcPr>
            <w:tcW w:w="1321" w:type="dxa"/>
          </w:tcPr>
          <w:p w14:paraId="155DF1B6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3</w:t>
            </w:r>
          </w:p>
        </w:tc>
        <w:tc>
          <w:tcPr>
            <w:tcW w:w="1192" w:type="dxa"/>
          </w:tcPr>
          <w:p w14:paraId="500E85D8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4</w:t>
            </w:r>
          </w:p>
        </w:tc>
        <w:tc>
          <w:tcPr>
            <w:tcW w:w="1192" w:type="dxa"/>
          </w:tcPr>
          <w:p w14:paraId="5831882F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5</w:t>
            </w:r>
          </w:p>
        </w:tc>
        <w:tc>
          <w:tcPr>
            <w:tcW w:w="1192" w:type="dxa"/>
          </w:tcPr>
          <w:p w14:paraId="7F424F4F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6</w:t>
            </w:r>
          </w:p>
        </w:tc>
        <w:tc>
          <w:tcPr>
            <w:tcW w:w="1192" w:type="dxa"/>
          </w:tcPr>
          <w:p w14:paraId="2DE97A8B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7</w:t>
            </w:r>
          </w:p>
        </w:tc>
        <w:tc>
          <w:tcPr>
            <w:tcW w:w="1192" w:type="dxa"/>
          </w:tcPr>
          <w:p w14:paraId="710EEF40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Week 8</w:t>
            </w:r>
          </w:p>
        </w:tc>
        <w:tc>
          <w:tcPr>
            <w:tcW w:w="1192" w:type="dxa"/>
          </w:tcPr>
          <w:p w14:paraId="64FD5266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Month 3-5</w:t>
            </w:r>
          </w:p>
        </w:tc>
        <w:tc>
          <w:tcPr>
            <w:tcW w:w="1193" w:type="dxa"/>
          </w:tcPr>
          <w:p w14:paraId="654EFF79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Month 6-9</w:t>
            </w:r>
          </w:p>
        </w:tc>
        <w:tc>
          <w:tcPr>
            <w:tcW w:w="1193" w:type="dxa"/>
          </w:tcPr>
          <w:p w14:paraId="22ABBECB" w14:textId="77777777" w:rsidR="006647F4" w:rsidRPr="007926D2" w:rsidRDefault="006647F4" w:rsidP="004D035C">
            <w:pPr>
              <w:rPr>
                <w:b/>
                <w:color w:val="1F4E79" w:themeColor="accent1" w:themeShade="80"/>
              </w:rPr>
            </w:pPr>
            <w:r w:rsidRPr="007926D2">
              <w:rPr>
                <w:b/>
                <w:color w:val="1F4E79" w:themeColor="accent1" w:themeShade="80"/>
              </w:rPr>
              <w:t>Month 12</w:t>
            </w:r>
          </w:p>
        </w:tc>
      </w:tr>
      <w:tr w:rsidR="006647F4" w14:paraId="691C41CE" w14:textId="77777777" w:rsidTr="006647F4">
        <w:trPr>
          <w:trHeight w:val="380"/>
        </w:trPr>
        <w:tc>
          <w:tcPr>
            <w:tcW w:w="15674" w:type="dxa"/>
            <w:gridSpan w:val="12"/>
          </w:tcPr>
          <w:p w14:paraId="2877765C" w14:textId="77777777" w:rsidR="006647F4" w:rsidRPr="007926D2" w:rsidRDefault="006647F4" w:rsidP="004D035C">
            <w:pPr>
              <w:rPr>
                <w:b/>
                <w:color w:val="00B0F0"/>
              </w:rPr>
            </w:pPr>
            <w:r w:rsidRPr="007926D2">
              <w:rPr>
                <w:b/>
                <w:color w:val="00B0F0"/>
              </w:rPr>
              <w:t xml:space="preserve">Infection Prophylaxis </w:t>
            </w:r>
          </w:p>
          <w:p w14:paraId="0A047C2B" w14:textId="77777777" w:rsidR="006647F4" w:rsidRDefault="006647F4" w:rsidP="004D035C">
            <w:r w:rsidRPr="007926D2">
              <w:rPr>
                <w:b/>
                <w:color w:val="00B0F0"/>
              </w:rPr>
              <w:t>Management</w:t>
            </w:r>
          </w:p>
        </w:tc>
      </w:tr>
      <w:tr w:rsidR="00C95A32" w14:paraId="29960D70" w14:textId="77777777" w:rsidTr="00163E7A">
        <w:trPr>
          <w:trHeight w:val="403"/>
        </w:trPr>
        <w:tc>
          <w:tcPr>
            <w:tcW w:w="2250" w:type="dxa"/>
          </w:tcPr>
          <w:p w14:paraId="7C1560E9" w14:textId="77777777" w:rsidR="00C95A32" w:rsidRDefault="00C95A32" w:rsidP="004D035C">
            <w:r>
              <w:t>CMV Prophylaxis</w:t>
            </w:r>
          </w:p>
        </w:tc>
        <w:tc>
          <w:tcPr>
            <w:tcW w:w="13424" w:type="dxa"/>
            <w:gridSpan w:val="11"/>
          </w:tcPr>
          <w:p w14:paraId="36D4E816" w14:textId="1B9E2DF0" w:rsidR="00C95A32" w:rsidRDefault="00C95A32" w:rsidP="004D035C">
            <w:r>
              <w:t>High risk (</w:t>
            </w:r>
            <w:r w:rsidR="00E076A6">
              <w:t xml:space="preserve">D+R-) will receive </w:t>
            </w:r>
            <w:proofErr w:type="spellStart"/>
            <w:r w:rsidR="00E076A6">
              <w:t>valcyte</w:t>
            </w:r>
            <w:proofErr w:type="spellEnd"/>
            <w:r w:rsidR="00E076A6">
              <w:t xml:space="preserve"> for 3</w:t>
            </w:r>
            <w:r>
              <w:t xml:space="preserve"> months</w:t>
            </w:r>
          </w:p>
          <w:p w14:paraId="20D856C1" w14:textId="77777777" w:rsidR="00C95A32" w:rsidRDefault="00C95A32" w:rsidP="004D035C">
            <w:r>
              <w:t>Intermediate(R+) and Low risk(D-R-) will receive acyclovir for 3 months</w:t>
            </w:r>
          </w:p>
          <w:p w14:paraId="15D50E66" w14:textId="7449562C" w:rsidR="00C95A32" w:rsidRDefault="00E076A6" w:rsidP="00E076A6">
            <w:r>
              <w:t>Collect CMV PCR-</w:t>
            </w:r>
            <w:r w:rsidR="005855ED">
              <w:t>every month for 1 year</w:t>
            </w:r>
          </w:p>
        </w:tc>
      </w:tr>
      <w:tr w:rsidR="006647F4" w14:paraId="66768108" w14:textId="77777777" w:rsidTr="006647F4">
        <w:trPr>
          <w:trHeight w:val="380"/>
        </w:trPr>
        <w:tc>
          <w:tcPr>
            <w:tcW w:w="2250" w:type="dxa"/>
          </w:tcPr>
          <w:p w14:paraId="7C8E45DE" w14:textId="1695E759" w:rsidR="006647F4" w:rsidRDefault="006647F4" w:rsidP="004D035C">
            <w:r>
              <w:t>PCP Prophyla</w:t>
            </w:r>
            <w:r w:rsidR="00EE67A9">
              <w:t>xis</w:t>
            </w:r>
          </w:p>
        </w:tc>
        <w:tc>
          <w:tcPr>
            <w:tcW w:w="11038" w:type="dxa"/>
            <w:gridSpan w:val="9"/>
          </w:tcPr>
          <w:p w14:paraId="791B6116" w14:textId="77777777" w:rsidR="006647F4" w:rsidRDefault="006647F4" w:rsidP="004D035C">
            <w:r>
              <w:t>Bactrim SS Daily months 0-6</w:t>
            </w:r>
          </w:p>
        </w:tc>
        <w:tc>
          <w:tcPr>
            <w:tcW w:w="1193" w:type="dxa"/>
          </w:tcPr>
          <w:p w14:paraId="2A688A8B" w14:textId="77777777" w:rsidR="006647F4" w:rsidRDefault="006647F4" w:rsidP="004D035C"/>
        </w:tc>
        <w:tc>
          <w:tcPr>
            <w:tcW w:w="1193" w:type="dxa"/>
          </w:tcPr>
          <w:p w14:paraId="0797D296" w14:textId="77777777" w:rsidR="006647F4" w:rsidRDefault="006647F4" w:rsidP="004D035C"/>
        </w:tc>
      </w:tr>
      <w:tr w:rsidR="00194684" w14:paraId="088BD8F6" w14:textId="77777777" w:rsidTr="00163E7A">
        <w:trPr>
          <w:trHeight w:val="403"/>
        </w:trPr>
        <w:tc>
          <w:tcPr>
            <w:tcW w:w="2250" w:type="dxa"/>
          </w:tcPr>
          <w:p w14:paraId="6B41071D" w14:textId="77777777" w:rsidR="00194684" w:rsidRDefault="00194684" w:rsidP="004D035C">
            <w:r>
              <w:t>Polyoma BK Virus (liver/kidney only)</w:t>
            </w:r>
          </w:p>
        </w:tc>
        <w:tc>
          <w:tcPr>
            <w:tcW w:w="13424" w:type="dxa"/>
            <w:gridSpan w:val="11"/>
          </w:tcPr>
          <w:p w14:paraId="6DA4B219" w14:textId="7A7429B8" w:rsidR="00194684" w:rsidRDefault="00194684" w:rsidP="004D035C">
            <w:r>
              <w:t xml:space="preserve">Collect </w:t>
            </w:r>
            <w:r w:rsidR="002E0D29">
              <w:t xml:space="preserve">BK PCR </w:t>
            </w:r>
            <w:r>
              <w:t>monthly for 12 months</w:t>
            </w:r>
          </w:p>
          <w:p w14:paraId="5D28FD57" w14:textId="6B5D1969" w:rsidR="00194684" w:rsidRDefault="00194684" w:rsidP="004D035C">
            <w:r>
              <w:t xml:space="preserve"> </w:t>
            </w:r>
          </w:p>
        </w:tc>
      </w:tr>
    </w:tbl>
    <w:p w14:paraId="780F0D7C" w14:textId="77777777" w:rsidR="006647F4" w:rsidRDefault="006647F4" w:rsidP="006647F4"/>
    <w:p w14:paraId="2CFF4DA5" w14:textId="77777777" w:rsidR="00EE67A9" w:rsidRDefault="00EE67A9" w:rsidP="00EE67A9">
      <w:pPr>
        <w:pBdr>
          <w:bottom w:val="single" w:sz="4" w:space="1" w:color="auto"/>
        </w:pBdr>
      </w:pPr>
    </w:p>
    <w:p w14:paraId="0FD901A0" w14:textId="77777777" w:rsidR="00EE67A9" w:rsidRDefault="00EE67A9" w:rsidP="006647F4"/>
    <w:p w14:paraId="132004C2" w14:textId="77777777" w:rsidR="00EE67A9" w:rsidRDefault="00EE67A9" w:rsidP="006647F4"/>
    <w:p w14:paraId="4E6351B4" w14:textId="31C350CB" w:rsidR="00EE67A9" w:rsidRPr="00EE67A9" w:rsidRDefault="00EE67A9" w:rsidP="006647F4">
      <w:pPr>
        <w:rPr>
          <w:b/>
          <w:u w:val="single"/>
        </w:rPr>
      </w:pPr>
      <w:r w:rsidRPr="00EE67A9">
        <w:rPr>
          <w:b/>
          <w:u w:val="single"/>
        </w:rPr>
        <w:t>CARDIOVASCULAR RISK FACTOR MANAGEMENT-</w:t>
      </w:r>
    </w:p>
    <w:p w14:paraId="53424E51" w14:textId="77777777" w:rsidR="00EE67A9" w:rsidRDefault="00EE67A9" w:rsidP="006647F4"/>
    <w:tbl>
      <w:tblPr>
        <w:tblStyle w:val="TableGrid"/>
        <w:tblW w:w="15683" w:type="dxa"/>
        <w:tblInd w:w="-645" w:type="dxa"/>
        <w:tblLook w:val="04A0" w:firstRow="1" w:lastRow="0" w:firstColumn="1" w:lastColumn="0" w:noHBand="0" w:noVBand="1"/>
      </w:tblPr>
      <w:tblGrid>
        <w:gridCol w:w="2248"/>
        <w:gridCol w:w="1165"/>
        <w:gridCol w:w="1067"/>
        <w:gridCol w:w="803"/>
        <w:gridCol w:w="1477"/>
        <w:gridCol w:w="1372"/>
        <w:gridCol w:w="1002"/>
        <w:gridCol w:w="67"/>
        <w:gridCol w:w="1069"/>
        <w:gridCol w:w="52"/>
        <w:gridCol w:w="1017"/>
        <w:gridCol w:w="1069"/>
        <w:gridCol w:w="1069"/>
        <w:gridCol w:w="1070"/>
        <w:gridCol w:w="1136"/>
      </w:tblGrid>
      <w:tr w:rsidR="006647F4" w14:paraId="61AA9D29" w14:textId="77777777" w:rsidTr="00062D1A">
        <w:trPr>
          <w:trHeight w:val="441"/>
        </w:trPr>
        <w:tc>
          <w:tcPr>
            <w:tcW w:w="2248" w:type="dxa"/>
          </w:tcPr>
          <w:p w14:paraId="7485501F" w14:textId="77777777" w:rsidR="006647F4" w:rsidRDefault="006647F4" w:rsidP="004D035C"/>
        </w:tc>
        <w:tc>
          <w:tcPr>
            <w:tcW w:w="1165" w:type="dxa"/>
          </w:tcPr>
          <w:p w14:paraId="23D19999" w14:textId="77777777" w:rsidR="00A74128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 xml:space="preserve">Weeks </w:t>
            </w:r>
          </w:p>
          <w:p w14:paraId="395F9BB0" w14:textId="3AFE5AA0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1-4</w:t>
            </w:r>
          </w:p>
        </w:tc>
        <w:tc>
          <w:tcPr>
            <w:tcW w:w="1067" w:type="dxa"/>
          </w:tcPr>
          <w:p w14:paraId="23E49478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 xml:space="preserve">Weeks </w:t>
            </w:r>
          </w:p>
          <w:p w14:paraId="132077CB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5-8</w:t>
            </w:r>
          </w:p>
        </w:tc>
        <w:tc>
          <w:tcPr>
            <w:tcW w:w="803" w:type="dxa"/>
          </w:tcPr>
          <w:p w14:paraId="5FA06310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Week</w:t>
            </w:r>
          </w:p>
          <w:p w14:paraId="27053F1F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1477" w:type="dxa"/>
          </w:tcPr>
          <w:p w14:paraId="0F5347BB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Week</w:t>
            </w:r>
          </w:p>
          <w:p w14:paraId="08F37EA5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12</w:t>
            </w:r>
          </w:p>
        </w:tc>
        <w:tc>
          <w:tcPr>
            <w:tcW w:w="1372" w:type="dxa"/>
          </w:tcPr>
          <w:p w14:paraId="3910F2F2" w14:textId="77777777" w:rsidR="00A74128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 xml:space="preserve">Month </w:t>
            </w:r>
          </w:p>
          <w:p w14:paraId="004E2BC7" w14:textId="5A44FE03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069" w:type="dxa"/>
            <w:gridSpan w:val="2"/>
          </w:tcPr>
          <w:p w14:paraId="51F22EBC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5</w:t>
            </w:r>
          </w:p>
        </w:tc>
        <w:tc>
          <w:tcPr>
            <w:tcW w:w="1069" w:type="dxa"/>
          </w:tcPr>
          <w:p w14:paraId="52F7BA0A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6</w:t>
            </w:r>
          </w:p>
        </w:tc>
        <w:tc>
          <w:tcPr>
            <w:tcW w:w="1069" w:type="dxa"/>
            <w:gridSpan w:val="2"/>
          </w:tcPr>
          <w:p w14:paraId="04A8EE66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7</w:t>
            </w:r>
          </w:p>
        </w:tc>
        <w:tc>
          <w:tcPr>
            <w:tcW w:w="1069" w:type="dxa"/>
          </w:tcPr>
          <w:p w14:paraId="5FCE6D95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8</w:t>
            </w:r>
          </w:p>
        </w:tc>
        <w:tc>
          <w:tcPr>
            <w:tcW w:w="1069" w:type="dxa"/>
          </w:tcPr>
          <w:p w14:paraId="0D4EE59E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9</w:t>
            </w:r>
          </w:p>
        </w:tc>
        <w:tc>
          <w:tcPr>
            <w:tcW w:w="1070" w:type="dxa"/>
          </w:tcPr>
          <w:p w14:paraId="26CB94E0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 12</w:t>
            </w:r>
          </w:p>
        </w:tc>
        <w:tc>
          <w:tcPr>
            <w:tcW w:w="1136" w:type="dxa"/>
          </w:tcPr>
          <w:p w14:paraId="6B1B0ADF" w14:textId="77777777" w:rsidR="006647F4" w:rsidRPr="0002402F" w:rsidRDefault="006647F4" w:rsidP="004D035C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&gt;</w:t>
            </w:r>
            <w:r w:rsidRPr="0002402F">
              <w:rPr>
                <w:b/>
                <w:color w:val="1F4E79" w:themeColor="accent1" w:themeShade="80"/>
              </w:rPr>
              <w:t>12</w:t>
            </w:r>
          </w:p>
          <w:p w14:paraId="077D0161" w14:textId="77777777" w:rsidR="006647F4" w:rsidRPr="006430AC" w:rsidRDefault="006647F4" w:rsidP="004D035C">
            <w:pPr>
              <w:rPr>
                <w:b/>
                <w:color w:val="1F4E79" w:themeColor="accent1" w:themeShade="80"/>
              </w:rPr>
            </w:pPr>
            <w:r w:rsidRPr="006430AC">
              <w:rPr>
                <w:b/>
                <w:color w:val="1F4E79" w:themeColor="accent1" w:themeShade="80"/>
              </w:rPr>
              <w:t>Months</w:t>
            </w:r>
          </w:p>
        </w:tc>
      </w:tr>
      <w:tr w:rsidR="006647F4" w14:paraId="64249D80" w14:textId="77777777" w:rsidTr="00062D1A">
        <w:trPr>
          <w:trHeight w:val="416"/>
        </w:trPr>
        <w:tc>
          <w:tcPr>
            <w:tcW w:w="2248" w:type="dxa"/>
          </w:tcPr>
          <w:p w14:paraId="695C0D33" w14:textId="77777777" w:rsidR="006647F4" w:rsidRPr="006430AC" w:rsidRDefault="006647F4" w:rsidP="004D035C">
            <w:pPr>
              <w:rPr>
                <w:b/>
              </w:rPr>
            </w:pPr>
            <w:r w:rsidRPr="006430AC">
              <w:rPr>
                <w:b/>
                <w:color w:val="00B0F0"/>
              </w:rPr>
              <w:t>Cardiovascular Risk Reduction</w:t>
            </w:r>
          </w:p>
        </w:tc>
        <w:tc>
          <w:tcPr>
            <w:tcW w:w="13435" w:type="dxa"/>
            <w:gridSpan w:val="14"/>
          </w:tcPr>
          <w:p w14:paraId="0B735F88" w14:textId="77777777" w:rsidR="006647F4" w:rsidRDefault="006647F4" w:rsidP="004D035C"/>
        </w:tc>
      </w:tr>
      <w:tr w:rsidR="006647F4" w14:paraId="17FE4C66" w14:textId="77777777" w:rsidTr="00062D1A">
        <w:trPr>
          <w:trHeight w:val="629"/>
        </w:trPr>
        <w:tc>
          <w:tcPr>
            <w:tcW w:w="2248" w:type="dxa"/>
          </w:tcPr>
          <w:p w14:paraId="6BBB2112" w14:textId="77777777" w:rsidR="006647F4" w:rsidRDefault="006647F4" w:rsidP="004D035C">
            <w:r>
              <w:t xml:space="preserve">BMI Goal &lt; 25 </w:t>
            </w:r>
          </w:p>
          <w:p w14:paraId="04F0AD1F" w14:textId="77777777" w:rsidR="006647F4" w:rsidRDefault="006647F4" w:rsidP="004D035C">
            <w:r>
              <w:t>BP&lt; 130/80</w:t>
            </w:r>
          </w:p>
          <w:p w14:paraId="202E4239" w14:textId="77777777" w:rsidR="006647F4" w:rsidRDefault="006647F4" w:rsidP="004D035C">
            <w:r>
              <w:t>Cholesterol &lt; 200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9AF54E2" w14:textId="77777777" w:rsidR="006647F4" w:rsidRDefault="006647F4" w:rsidP="004D035C">
            <w:r>
              <w:sym w:font="Wingdings" w:char="F0FE"/>
            </w:r>
          </w:p>
        </w:tc>
        <w:tc>
          <w:tcPr>
            <w:tcW w:w="10064" w:type="dxa"/>
            <w:gridSpan w:val="11"/>
            <w:tcBorders>
              <w:bottom w:val="single" w:sz="4" w:space="0" w:color="auto"/>
            </w:tcBorders>
          </w:tcPr>
          <w:p w14:paraId="46582337" w14:textId="77777777" w:rsidR="006647F4" w:rsidRDefault="006647F4" w:rsidP="004D035C"/>
        </w:tc>
        <w:tc>
          <w:tcPr>
            <w:tcW w:w="1070" w:type="dxa"/>
          </w:tcPr>
          <w:p w14:paraId="3E4BC8E7" w14:textId="77777777" w:rsidR="006647F4" w:rsidRDefault="006647F4" w:rsidP="004D035C">
            <w:r>
              <w:sym w:font="Wingdings" w:char="F0FE"/>
            </w:r>
          </w:p>
        </w:tc>
        <w:tc>
          <w:tcPr>
            <w:tcW w:w="1136" w:type="dxa"/>
          </w:tcPr>
          <w:p w14:paraId="7C670A2D" w14:textId="77777777" w:rsidR="006647F4" w:rsidRDefault="006647F4" w:rsidP="004D035C">
            <w:r>
              <w:t>Annual</w:t>
            </w:r>
          </w:p>
        </w:tc>
      </w:tr>
      <w:tr w:rsidR="00062D1A" w14:paraId="49664472" w14:textId="77777777" w:rsidTr="00163E7A">
        <w:trPr>
          <w:trHeight w:val="416"/>
        </w:trPr>
        <w:tc>
          <w:tcPr>
            <w:tcW w:w="2248" w:type="dxa"/>
          </w:tcPr>
          <w:p w14:paraId="11C595D6" w14:textId="77777777" w:rsidR="00062D1A" w:rsidRDefault="00062D1A" w:rsidP="004D035C">
            <w:r>
              <w:t>Lipid Panel</w:t>
            </w:r>
          </w:p>
        </w:tc>
        <w:tc>
          <w:tcPr>
            <w:tcW w:w="1165" w:type="dxa"/>
          </w:tcPr>
          <w:p w14:paraId="6875BA5C" w14:textId="7DEC52E3" w:rsidR="00062D1A" w:rsidRDefault="00062D1A" w:rsidP="004D035C">
            <w:r>
              <w:sym w:font="Wingdings" w:char="F0FE"/>
            </w:r>
          </w:p>
        </w:tc>
        <w:tc>
          <w:tcPr>
            <w:tcW w:w="1870" w:type="dxa"/>
            <w:gridSpan w:val="2"/>
          </w:tcPr>
          <w:p w14:paraId="4E41940C" w14:textId="77777777" w:rsidR="00062D1A" w:rsidRDefault="00062D1A" w:rsidP="004D035C"/>
        </w:tc>
        <w:tc>
          <w:tcPr>
            <w:tcW w:w="1477" w:type="dxa"/>
          </w:tcPr>
          <w:p w14:paraId="44DA91FB" w14:textId="6E34D2A3" w:rsidR="00062D1A" w:rsidRDefault="00062D1A" w:rsidP="004D035C">
            <w:r>
              <w:sym w:font="Wingdings" w:char="F0FE"/>
            </w:r>
          </w:p>
        </w:tc>
        <w:tc>
          <w:tcPr>
            <w:tcW w:w="2374" w:type="dxa"/>
            <w:gridSpan w:val="2"/>
          </w:tcPr>
          <w:p w14:paraId="7602FA27" w14:textId="77777777" w:rsidR="00062D1A" w:rsidRDefault="00062D1A" w:rsidP="004D035C"/>
        </w:tc>
        <w:tc>
          <w:tcPr>
            <w:tcW w:w="1188" w:type="dxa"/>
            <w:gridSpan w:val="3"/>
          </w:tcPr>
          <w:p w14:paraId="5CA0C9B6" w14:textId="7B81A0EF" w:rsidR="00062D1A" w:rsidRDefault="00062D1A" w:rsidP="004D035C">
            <w:r>
              <w:sym w:font="Wingdings" w:char="F0FE"/>
            </w:r>
          </w:p>
        </w:tc>
        <w:tc>
          <w:tcPr>
            <w:tcW w:w="3155" w:type="dxa"/>
            <w:gridSpan w:val="3"/>
          </w:tcPr>
          <w:p w14:paraId="6411EFBB" w14:textId="14214D57" w:rsidR="00062D1A" w:rsidRDefault="00062D1A" w:rsidP="004D035C"/>
        </w:tc>
        <w:tc>
          <w:tcPr>
            <w:tcW w:w="1070" w:type="dxa"/>
          </w:tcPr>
          <w:p w14:paraId="1F26D398" w14:textId="77777777" w:rsidR="00062D1A" w:rsidRDefault="00062D1A" w:rsidP="004D035C">
            <w:r>
              <w:sym w:font="Wingdings" w:char="F0FE"/>
            </w:r>
          </w:p>
        </w:tc>
        <w:tc>
          <w:tcPr>
            <w:tcW w:w="1136" w:type="dxa"/>
          </w:tcPr>
          <w:p w14:paraId="2F902EF5" w14:textId="77777777" w:rsidR="00062D1A" w:rsidRDefault="00062D1A" w:rsidP="004D035C">
            <w:r>
              <w:t>Annual</w:t>
            </w:r>
          </w:p>
        </w:tc>
      </w:tr>
    </w:tbl>
    <w:p w14:paraId="735CA247" w14:textId="77777777" w:rsidR="006647F4" w:rsidRDefault="006647F4" w:rsidP="006647F4"/>
    <w:tbl>
      <w:tblPr>
        <w:tblStyle w:val="TableGrid"/>
        <w:tblW w:w="15608" w:type="dxa"/>
        <w:tblInd w:w="-610" w:type="dxa"/>
        <w:tblLook w:val="04A0" w:firstRow="1" w:lastRow="0" w:firstColumn="1" w:lastColumn="0" w:noHBand="0" w:noVBand="1"/>
      </w:tblPr>
      <w:tblGrid>
        <w:gridCol w:w="2250"/>
        <w:gridCol w:w="1234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3"/>
        <w:gridCol w:w="1103"/>
      </w:tblGrid>
      <w:tr w:rsidR="006647F4" w14:paraId="0C07359D" w14:textId="77777777" w:rsidTr="006647F4">
        <w:trPr>
          <w:trHeight w:val="432"/>
        </w:trPr>
        <w:tc>
          <w:tcPr>
            <w:tcW w:w="2250" w:type="dxa"/>
          </w:tcPr>
          <w:p w14:paraId="43CA67F7" w14:textId="77777777" w:rsidR="006647F4" w:rsidRDefault="006647F4" w:rsidP="004D035C"/>
        </w:tc>
        <w:tc>
          <w:tcPr>
            <w:tcW w:w="1234" w:type="dxa"/>
          </w:tcPr>
          <w:p w14:paraId="47035768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Week 1-4</w:t>
            </w:r>
          </w:p>
        </w:tc>
        <w:tc>
          <w:tcPr>
            <w:tcW w:w="1102" w:type="dxa"/>
          </w:tcPr>
          <w:p w14:paraId="663D011A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Weeks </w:t>
            </w:r>
          </w:p>
          <w:p w14:paraId="4D6037DC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5-8</w:t>
            </w:r>
          </w:p>
        </w:tc>
        <w:tc>
          <w:tcPr>
            <w:tcW w:w="1102" w:type="dxa"/>
          </w:tcPr>
          <w:p w14:paraId="7F4BBE99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Week </w:t>
            </w:r>
          </w:p>
          <w:p w14:paraId="17DBDEF5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10</w:t>
            </w:r>
          </w:p>
        </w:tc>
        <w:tc>
          <w:tcPr>
            <w:tcW w:w="1102" w:type="dxa"/>
          </w:tcPr>
          <w:p w14:paraId="69051BB7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Week </w:t>
            </w:r>
          </w:p>
          <w:p w14:paraId="04053CF6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12</w:t>
            </w:r>
          </w:p>
        </w:tc>
        <w:tc>
          <w:tcPr>
            <w:tcW w:w="1102" w:type="dxa"/>
          </w:tcPr>
          <w:p w14:paraId="5800580C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4</w:t>
            </w:r>
          </w:p>
        </w:tc>
        <w:tc>
          <w:tcPr>
            <w:tcW w:w="1102" w:type="dxa"/>
          </w:tcPr>
          <w:p w14:paraId="203EA46B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5</w:t>
            </w:r>
          </w:p>
        </w:tc>
        <w:tc>
          <w:tcPr>
            <w:tcW w:w="1102" w:type="dxa"/>
          </w:tcPr>
          <w:p w14:paraId="1E367178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6</w:t>
            </w:r>
          </w:p>
        </w:tc>
        <w:tc>
          <w:tcPr>
            <w:tcW w:w="1102" w:type="dxa"/>
          </w:tcPr>
          <w:p w14:paraId="29ABBED8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 Month 7 </w:t>
            </w:r>
          </w:p>
        </w:tc>
        <w:tc>
          <w:tcPr>
            <w:tcW w:w="1102" w:type="dxa"/>
          </w:tcPr>
          <w:p w14:paraId="3CC52B6D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8</w:t>
            </w:r>
          </w:p>
        </w:tc>
        <w:tc>
          <w:tcPr>
            <w:tcW w:w="1102" w:type="dxa"/>
          </w:tcPr>
          <w:p w14:paraId="731FCEF5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9</w:t>
            </w:r>
          </w:p>
        </w:tc>
        <w:tc>
          <w:tcPr>
            <w:tcW w:w="1103" w:type="dxa"/>
          </w:tcPr>
          <w:p w14:paraId="26538F75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12</w:t>
            </w:r>
          </w:p>
        </w:tc>
        <w:tc>
          <w:tcPr>
            <w:tcW w:w="1103" w:type="dxa"/>
          </w:tcPr>
          <w:p w14:paraId="6EB3381E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&gt;12</w:t>
            </w:r>
          </w:p>
          <w:p w14:paraId="6C7CD513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months</w:t>
            </w:r>
          </w:p>
        </w:tc>
      </w:tr>
      <w:tr w:rsidR="006647F4" w14:paraId="6AC2EB00" w14:textId="77777777" w:rsidTr="006647F4">
        <w:trPr>
          <w:trHeight w:val="432"/>
        </w:trPr>
        <w:tc>
          <w:tcPr>
            <w:tcW w:w="2250" w:type="dxa"/>
          </w:tcPr>
          <w:p w14:paraId="0BA07752" w14:textId="77777777" w:rsidR="006647F4" w:rsidRPr="00F268AA" w:rsidRDefault="006647F4" w:rsidP="004D035C">
            <w:pPr>
              <w:rPr>
                <w:b/>
              </w:rPr>
            </w:pPr>
            <w:r w:rsidRPr="00F268AA">
              <w:rPr>
                <w:b/>
                <w:color w:val="00B0F0"/>
              </w:rPr>
              <w:t>Diabetes Management</w:t>
            </w:r>
          </w:p>
        </w:tc>
        <w:tc>
          <w:tcPr>
            <w:tcW w:w="1234" w:type="dxa"/>
          </w:tcPr>
          <w:p w14:paraId="260E2981" w14:textId="77777777" w:rsidR="006647F4" w:rsidRDefault="006647F4" w:rsidP="004D035C"/>
        </w:tc>
        <w:tc>
          <w:tcPr>
            <w:tcW w:w="1102" w:type="dxa"/>
          </w:tcPr>
          <w:p w14:paraId="085B13DB" w14:textId="77777777" w:rsidR="006647F4" w:rsidRDefault="006647F4" w:rsidP="004D035C"/>
        </w:tc>
        <w:tc>
          <w:tcPr>
            <w:tcW w:w="1102" w:type="dxa"/>
          </w:tcPr>
          <w:p w14:paraId="291571CE" w14:textId="77777777" w:rsidR="006647F4" w:rsidRDefault="006647F4" w:rsidP="004D035C"/>
        </w:tc>
        <w:tc>
          <w:tcPr>
            <w:tcW w:w="1102" w:type="dxa"/>
          </w:tcPr>
          <w:p w14:paraId="36BBBCFC" w14:textId="77777777" w:rsidR="006647F4" w:rsidRDefault="006647F4" w:rsidP="004D035C"/>
        </w:tc>
        <w:tc>
          <w:tcPr>
            <w:tcW w:w="1102" w:type="dxa"/>
          </w:tcPr>
          <w:p w14:paraId="5B4DDE85" w14:textId="77777777" w:rsidR="006647F4" w:rsidRDefault="006647F4" w:rsidP="004D035C"/>
        </w:tc>
        <w:tc>
          <w:tcPr>
            <w:tcW w:w="1102" w:type="dxa"/>
          </w:tcPr>
          <w:p w14:paraId="555E7F63" w14:textId="77777777" w:rsidR="006647F4" w:rsidRDefault="006647F4" w:rsidP="004D035C"/>
        </w:tc>
        <w:tc>
          <w:tcPr>
            <w:tcW w:w="1102" w:type="dxa"/>
          </w:tcPr>
          <w:p w14:paraId="2549E876" w14:textId="77777777" w:rsidR="006647F4" w:rsidRDefault="006647F4" w:rsidP="004D035C"/>
        </w:tc>
        <w:tc>
          <w:tcPr>
            <w:tcW w:w="1102" w:type="dxa"/>
          </w:tcPr>
          <w:p w14:paraId="1F67B523" w14:textId="77777777" w:rsidR="006647F4" w:rsidRDefault="006647F4" w:rsidP="004D035C"/>
        </w:tc>
        <w:tc>
          <w:tcPr>
            <w:tcW w:w="1102" w:type="dxa"/>
          </w:tcPr>
          <w:p w14:paraId="689CB104" w14:textId="77777777" w:rsidR="006647F4" w:rsidRDefault="006647F4" w:rsidP="004D035C"/>
        </w:tc>
        <w:tc>
          <w:tcPr>
            <w:tcW w:w="1102" w:type="dxa"/>
          </w:tcPr>
          <w:p w14:paraId="5E3FD439" w14:textId="77777777" w:rsidR="006647F4" w:rsidRDefault="006647F4" w:rsidP="004D035C"/>
        </w:tc>
        <w:tc>
          <w:tcPr>
            <w:tcW w:w="1103" w:type="dxa"/>
          </w:tcPr>
          <w:p w14:paraId="51BD6C84" w14:textId="77777777" w:rsidR="006647F4" w:rsidRDefault="006647F4" w:rsidP="004D035C"/>
        </w:tc>
        <w:tc>
          <w:tcPr>
            <w:tcW w:w="1103" w:type="dxa"/>
          </w:tcPr>
          <w:p w14:paraId="6AF8EDAD" w14:textId="77777777" w:rsidR="006647F4" w:rsidRDefault="006647F4" w:rsidP="004D035C"/>
        </w:tc>
      </w:tr>
      <w:tr w:rsidR="006647F4" w14:paraId="2E7993B4" w14:textId="77777777" w:rsidTr="006647F4">
        <w:trPr>
          <w:trHeight w:val="407"/>
        </w:trPr>
        <w:tc>
          <w:tcPr>
            <w:tcW w:w="2250" w:type="dxa"/>
          </w:tcPr>
          <w:p w14:paraId="52BE413B" w14:textId="77777777" w:rsidR="006647F4" w:rsidRDefault="006647F4" w:rsidP="004D035C">
            <w:proofErr w:type="spellStart"/>
            <w:r>
              <w:t>Hgb</w:t>
            </w:r>
            <w:proofErr w:type="spellEnd"/>
            <w:r>
              <w:t xml:space="preserve"> A1C (if on steroid) </w:t>
            </w:r>
          </w:p>
          <w:p w14:paraId="67D9534A" w14:textId="77777777" w:rsidR="006647F4" w:rsidRDefault="006647F4" w:rsidP="004D035C"/>
          <w:p w14:paraId="175D3C71" w14:textId="77777777" w:rsidR="006647F4" w:rsidRDefault="006647F4" w:rsidP="004D035C">
            <w:r>
              <w:t>Ophthalmology</w:t>
            </w:r>
          </w:p>
        </w:tc>
        <w:tc>
          <w:tcPr>
            <w:tcW w:w="3438" w:type="dxa"/>
            <w:gridSpan w:val="3"/>
          </w:tcPr>
          <w:p w14:paraId="6EE46682" w14:textId="77777777" w:rsidR="006647F4" w:rsidRDefault="006647F4" w:rsidP="004D035C">
            <w:r>
              <w:t>If blood glucose is consistently &gt; 150, obtain endocrine consult</w:t>
            </w:r>
          </w:p>
        </w:tc>
        <w:tc>
          <w:tcPr>
            <w:tcW w:w="1102" w:type="dxa"/>
          </w:tcPr>
          <w:p w14:paraId="4B3D708D" w14:textId="77777777" w:rsidR="006647F4" w:rsidRDefault="006647F4" w:rsidP="004D035C">
            <w:r>
              <w:sym w:font="Wingdings" w:char="F0FE"/>
            </w:r>
          </w:p>
        </w:tc>
        <w:tc>
          <w:tcPr>
            <w:tcW w:w="1102" w:type="dxa"/>
          </w:tcPr>
          <w:p w14:paraId="0F13BDA6" w14:textId="77777777" w:rsidR="006647F4" w:rsidRDefault="006647F4" w:rsidP="004D035C"/>
        </w:tc>
        <w:tc>
          <w:tcPr>
            <w:tcW w:w="1102" w:type="dxa"/>
          </w:tcPr>
          <w:p w14:paraId="035F366A" w14:textId="77777777" w:rsidR="006647F4" w:rsidRDefault="006647F4" w:rsidP="004D035C"/>
        </w:tc>
        <w:tc>
          <w:tcPr>
            <w:tcW w:w="1102" w:type="dxa"/>
          </w:tcPr>
          <w:p w14:paraId="76B74151" w14:textId="77777777" w:rsidR="006647F4" w:rsidRDefault="006647F4" w:rsidP="004D035C">
            <w:r>
              <w:sym w:font="Wingdings" w:char="F0FE"/>
            </w:r>
          </w:p>
        </w:tc>
        <w:tc>
          <w:tcPr>
            <w:tcW w:w="1102" w:type="dxa"/>
          </w:tcPr>
          <w:p w14:paraId="6F51C532" w14:textId="77777777" w:rsidR="006647F4" w:rsidRDefault="006647F4" w:rsidP="004D035C"/>
        </w:tc>
        <w:tc>
          <w:tcPr>
            <w:tcW w:w="1102" w:type="dxa"/>
          </w:tcPr>
          <w:p w14:paraId="2F070A46" w14:textId="77777777" w:rsidR="006647F4" w:rsidRDefault="006647F4" w:rsidP="004D035C"/>
        </w:tc>
        <w:tc>
          <w:tcPr>
            <w:tcW w:w="1102" w:type="dxa"/>
          </w:tcPr>
          <w:p w14:paraId="3C21E3B1" w14:textId="77777777" w:rsidR="006647F4" w:rsidRDefault="006647F4" w:rsidP="004D035C">
            <w:r>
              <w:sym w:font="Wingdings" w:char="F0FE"/>
            </w:r>
          </w:p>
        </w:tc>
        <w:tc>
          <w:tcPr>
            <w:tcW w:w="1103" w:type="dxa"/>
          </w:tcPr>
          <w:p w14:paraId="7B28C2FB" w14:textId="77777777" w:rsidR="006647F4" w:rsidRDefault="006647F4" w:rsidP="004D035C">
            <w:r>
              <w:sym w:font="Wingdings" w:char="F0FE"/>
            </w:r>
          </w:p>
          <w:p w14:paraId="65CD1489" w14:textId="77777777" w:rsidR="006647F4" w:rsidRDefault="006647F4" w:rsidP="004D035C"/>
          <w:p w14:paraId="0799C7A1" w14:textId="77777777" w:rsidR="006647F4" w:rsidRDefault="006647F4" w:rsidP="004D035C">
            <w:r>
              <w:sym w:font="Wingdings" w:char="F0FE"/>
            </w:r>
          </w:p>
        </w:tc>
        <w:tc>
          <w:tcPr>
            <w:tcW w:w="1103" w:type="dxa"/>
          </w:tcPr>
          <w:p w14:paraId="318C28A2" w14:textId="77777777" w:rsidR="006647F4" w:rsidRDefault="006647F4" w:rsidP="004D035C">
            <w:r>
              <w:t>Q 3 months/</w:t>
            </w:r>
          </w:p>
          <w:p w14:paraId="68FF8AB8" w14:textId="77777777" w:rsidR="006647F4" w:rsidRDefault="006647F4" w:rsidP="004D035C">
            <w:r>
              <w:t>annual</w:t>
            </w:r>
          </w:p>
        </w:tc>
      </w:tr>
    </w:tbl>
    <w:p w14:paraId="09243896" w14:textId="77777777" w:rsidR="006647F4" w:rsidRDefault="006647F4" w:rsidP="006647F4"/>
    <w:p w14:paraId="565A6326" w14:textId="77777777" w:rsidR="00826F7A" w:rsidRDefault="00826F7A" w:rsidP="006647F4">
      <w:pPr>
        <w:rPr>
          <w:b/>
          <w:u w:val="single"/>
        </w:rPr>
      </w:pPr>
    </w:p>
    <w:p w14:paraId="649A8FFB" w14:textId="77777777" w:rsidR="00826F7A" w:rsidRDefault="00826F7A" w:rsidP="006647F4">
      <w:pPr>
        <w:rPr>
          <w:b/>
          <w:u w:val="single"/>
        </w:rPr>
      </w:pPr>
    </w:p>
    <w:p w14:paraId="18926E99" w14:textId="77777777" w:rsidR="00826F7A" w:rsidRDefault="00826F7A" w:rsidP="00826F7A">
      <w:pPr>
        <w:pBdr>
          <w:bottom w:val="single" w:sz="4" w:space="1" w:color="auto"/>
        </w:pBdr>
        <w:rPr>
          <w:b/>
          <w:u w:val="single"/>
        </w:rPr>
      </w:pPr>
    </w:p>
    <w:p w14:paraId="44A991F6" w14:textId="77777777" w:rsidR="00826F7A" w:rsidRDefault="00826F7A" w:rsidP="006647F4">
      <w:pPr>
        <w:rPr>
          <w:b/>
          <w:u w:val="single"/>
        </w:rPr>
      </w:pPr>
    </w:p>
    <w:p w14:paraId="385174EA" w14:textId="77777777" w:rsidR="00826F7A" w:rsidRDefault="00826F7A" w:rsidP="006647F4">
      <w:pPr>
        <w:rPr>
          <w:b/>
          <w:u w:val="single"/>
        </w:rPr>
      </w:pPr>
    </w:p>
    <w:p w14:paraId="27FF1A16" w14:textId="77777777" w:rsidR="00826F7A" w:rsidRDefault="00826F7A" w:rsidP="006647F4">
      <w:pPr>
        <w:rPr>
          <w:b/>
          <w:u w:val="single"/>
        </w:rPr>
      </w:pPr>
    </w:p>
    <w:p w14:paraId="0098991C" w14:textId="77777777" w:rsidR="00826F7A" w:rsidRDefault="00826F7A" w:rsidP="006647F4">
      <w:pPr>
        <w:rPr>
          <w:b/>
          <w:u w:val="single"/>
        </w:rPr>
      </w:pPr>
    </w:p>
    <w:p w14:paraId="7844EDDB" w14:textId="6831B785" w:rsidR="00826F7A" w:rsidRPr="00826F7A" w:rsidRDefault="00826F7A" w:rsidP="006647F4">
      <w:pPr>
        <w:rPr>
          <w:b/>
          <w:u w:val="single"/>
        </w:rPr>
      </w:pPr>
      <w:r w:rsidRPr="00826F7A">
        <w:rPr>
          <w:b/>
          <w:u w:val="single"/>
        </w:rPr>
        <w:t>VACCINATION</w:t>
      </w:r>
    </w:p>
    <w:p w14:paraId="0765D1E3" w14:textId="77777777" w:rsidR="00826F7A" w:rsidRDefault="00826F7A" w:rsidP="006647F4"/>
    <w:tbl>
      <w:tblPr>
        <w:tblStyle w:val="TableGrid"/>
        <w:tblW w:w="15593" w:type="dxa"/>
        <w:tblInd w:w="-600" w:type="dxa"/>
        <w:tblLook w:val="04A0" w:firstRow="1" w:lastRow="0" w:firstColumn="1" w:lastColumn="0" w:noHBand="0" w:noVBand="1"/>
      </w:tblPr>
      <w:tblGrid>
        <w:gridCol w:w="2250"/>
        <w:gridCol w:w="1219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3"/>
        <w:gridCol w:w="1103"/>
      </w:tblGrid>
      <w:tr w:rsidR="006647F4" w14:paraId="6DA3ACA8" w14:textId="77777777" w:rsidTr="006647F4">
        <w:trPr>
          <w:trHeight w:val="321"/>
        </w:trPr>
        <w:tc>
          <w:tcPr>
            <w:tcW w:w="2250" w:type="dxa"/>
          </w:tcPr>
          <w:p w14:paraId="4D9B7DF3" w14:textId="77777777" w:rsidR="006647F4" w:rsidRDefault="006647F4" w:rsidP="004D035C"/>
        </w:tc>
        <w:tc>
          <w:tcPr>
            <w:tcW w:w="1219" w:type="dxa"/>
          </w:tcPr>
          <w:p w14:paraId="613BBA9A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Weeks 1-4</w:t>
            </w:r>
          </w:p>
        </w:tc>
        <w:tc>
          <w:tcPr>
            <w:tcW w:w="1102" w:type="dxa"/>
          </w:tcPr>
          <w:p w14:paraId="4B72924B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Weeks</w:t>
            </w:r>
          </w:p>
          <w:p w14:paraId="056313C0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 5-8</w:t>
            </w:r>
          </w:p>
        </w:tc>
        <w:tc>
          <w:tcPr>
            <w:tcW w:w="1102" w:type="dxa"/>
          </w:tcPr>
          <w:p w14:paraId="44F971AF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Week 10</w:t>
            </w:r>
          </w:p>
        </w:tc>
        <w:tc>
          <w:tcPr>
            <w:tcW w:w="1102" w:type="dxa"/>
          </w:tcPr>
          <w:p w14:paraId="308B249C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Week 12</w:t>
            </w:r>
          </w:p>
        </w:tc>
        <w:tc>
          <w:tcPr>
            <w:tcW w:w="1102" w:type="dxa"/>
          </w:tcPr>
          <w:p w14:paraId="65084CEF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4</w:t>
            </w:r>
          </w:p>
        </w:tc>
        <w:tc>
          <w:tcPr>
            <w:tcW w:w="1102" w:type="dxa"/>
          </w:tcPr>
          <w:p w14:paraId="0A7C6BFB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5</w:t>
            </w:r>
          </w:p>
        </w:tc>
        <w:tc>
          <w:tcPr>
            <w:tcW w:w="1102" w:type="dxa"/>
          </w:tcPr>
          <w:p w14:paraId="62473906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 xml:space="preserve"> Month 6</w:t>
            </w:r>
          </w:p>
        </w:tc>
        <w:tc>
          <w:tcPr>
            <w:tcW w:w="1102" w:type="dxa"/>
          </w:tcPr>
          <w:p w14:paraId="616387E6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7</w:t>
            </w:r>
          </w:p>
        </w:tc>
        <w:tc>
          <w:tcPr>
            <w:tcW w:w="1102" w:type="dxa"/>
          </w:tcPr>
          <w:p w14:paraId="426171E6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8</w:t>
            </w:r>
          </w:p>
        </w:tc>
        <w:tc>
          <w:tcPr>
            <w:tcW w:w="1102" w:type="dxa"/>
          </w:tcPr>
          <w:p w14:paraId="2F5B5B40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9</w:t>
            </w:r>
          </w:p>
        </w:tc>
        <w:tc>
          <w:tcPr>
            <w:tcW w:w="1103" w:type="dxa"/>
          </w:tcPr>
          <w:p w14:paraId="5EC85FCB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 12</w:t>
            </w:r>
          </w:p>
        </w:tc>
        <w:tc>
          <w:tcPr>
            <w:tcW w:w="1103" w:type="dxa"/>
          </w:tcPr>
          <w:p w14:paraId="480FDBC4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&gt;12</w:t>
            </w:r>
          </w:p>
          <w:p w14:paraId="236ED30F" w14:textId="77777777" w:rsidR="006647F4" w:rsidRPr="00F268AA" w:rsidRDefault="006647F4" w:rsidP="004D035C">
            <w:pPr>
              <w:rPr>
                <w:b/>
                <w:color w:val="1F4E79" w:themeColor="accent1" w:themeShade="80"/>
              </w:rPr>
            </w:pPr>
            <w:r w:rsidRPr="00F268AA">
              <w:rPr>
                <w:b/>
                <w:color w:val="1F4E79" w:themeColor="accent1" w:themeShade="80"/>
              </w:rPr>
              <w:t>Months</w:t>
            </w:r>
          </w:p>
        </w:tc>
      </w:tr>
      <w:tr w:rsidR="006647F4" w14:paraId="750A154D" w14:textId="77777777" w:rsidTr="006647F4">
        <w:trPr>
          <w:trHeight w:val="303"/>
        </w:trPr>
        <w:tc>
          <w:tcPr>
            <w:tcW w:w="2250" w:type="dxa"/>
          </w:tcPr>
          <w:p w14:paraId="3B238A70" w14:textId="77777777" w:rsidR="006647F4" w:rsidRPr="00F268AA" w:rsidRDefault="006647F4" w:rsidP="004D035C">
            <w:pPr>
              <w:rPr>
                <w:b/>
              </w:rPr>
            </w:pPr>
            <w:r w:rsidRPr="00F268AA">
              <w:rPr>
                <w:b/>
                <w:color w:val="00B0F0"/>
              </w:rPr>
              <w:t xml:space="preserve">Vaccinations (starting 3 months </w:t>
            </w:r>
            <w:proofErr w:type="spellStart"/>
            <w:r w:rsidRPr="00F268AA">
              <w:rPr>
                <w:b/>
                <w:color w:val="00B0F0"/>
              </w:rPr>
              <w:t>post transplant</w:t>
            </w:r>
            <w:proofErr w:type="spellEnd"/>
            <w:r w:rsidRPr="00F268AA">
              <w:rPr>
                <w:b/>
                <w:color w:val="00B0F0"/>
              </w:rPr>
              <w:t>)</w:t>
            </w:r>
          </w:p>
        </w:tc>
        <w:tc>
          <w:tcPr>
            <w:tcW w:w="1219" w:type="dxa"/>
          </w:tcPr>
          <w:p w14:paraId="5D82C99F" w14:textId="77777777" w:rsidR="006647F4" w:rsidRDefault="006647F4" w:rsidP="004D035C"/>
        </w:tc>
        <w:tc>
          <w:tcPr>
            <w:tcW w:w="1102" w:type="dxa"/>
          </w:tcPr>
          <w:p w14:paraId="7D7DB7EB" w14:textId="77777777" w:rsidR="006647F4" w:rsidRDefault="006647F4" w:rsidP="004D035C"/>
        </w:tc>
        <w:tc>
          <w:tcPr>
            <w:tcW w:w="1102" w:type="dxa"/>
          </w:tcPr>
          <w:p w14:paraId="5B05A66F" w14:textId="77777777" w:rsidR="006647F4" w:rsidRDefault="006647F4" w:rsidP="004D035C"/>
        </w:tc>
        <w:tc>
          <w:tcPr>
            <w:tcW w:w="1102" w:type="dxa"/>
          </w:tcPr>
          <w:p w14:paraId="02CED81B" w14:textId="77777777" w:rsidR="006647F4" w:rsidRDefault="006647F4" w:rsidP="004D035C"/>
        </w:tc>
        <w:tc>
          <w:tcPr>
            <w:tcW w:w="1102" w:type="dxa"/>
          </w:tcPr>
          <w:p w14:paraId="544526E0" w14:textId="77777777" w:rsidR="006647F4" w:rsidRDefault="006647F4" w:rsidP="004D035C"/>
        </w:tc>
        <w:tc>
          <w:tcPr>
            <w:tcW w:w="1102" w:type="dxa"/>
          </w:tcPr>
          <w:p w14:paraId="7BF13983" w14:textId="77777777" w:rsidR="006647F4" w:rsidRDefault="006647F4" w:rsidP="004D035C"/>
        </w:tc>
        <w:tc>
          <w:tcPr>
            <w:tcW w:w="1102" w:type="dxa"/>
          </w:tcPr>
          <w:p w14:paraId="70385B23" w14:textId="77777777" w:rsidR="006647F4" w:rsidRDefault="006647F4" w:rsidP="004D035C"/>
        </w:tc>
        <w:tc>
          <w:tcPr>
            <w:tcW w:w="1102" w:type="dxa"/>
          </w:tcPr>
          <w:p w14:paraId="3D0D33FE" w14:textId="77777777" w:rsidR="006647F4" w:rsidRDefault="006647F4" w:rsidP="004D035C"/>
        </w:tc>
        <w:tc>
          <w:tcPr>
            <w:tcW w:w="1102" w:type="dxa"/>
          </w:tcPr>
          <w:p w14:paraId="3E906EDD" w14:textId="77777777" w:rsidR="006647F4" w:rsidRDefault="006647F4" w:rsidP="004D035C"/>
        </w:tc>
        <w:tc>
          <w:tcPr>
            <w:tcW w:w="1102" w:type="dxa"/>
          </w:tcPr>
          <w:p w14:paraId="45F9FB16" w14:textId="77777777" w:rsidR="006647F4" w:rsidRDefault="006647F4" w:rsidP="004D035C"/>
        </w:tc>
        <w:tc>
          <w:tcPr>
            <w:tcW w:w="1103" w:type="dxa"/>
          </w:tcPr>
          <w:p w14:paraId="22225CED" w14:textId="77777777" w:rsidR="006647F4" w:rsidRDefault="006647F4" w:rsidP="004D035C"/>
        </w:tc>
        <w:tc>
          <w:tcPr>
            <w:tcW w:w="1103" w:type="dxa"/>
          </w:tcPr>
          <w:p w14:paraId="1B53B316" w14:textId="77777777" w:rsidR="006647F4" w:rsidRDefault="006647F4" w:rsidP="004D035C"/>
        </w:tc>
      </w:tr>
      <w:tr w:rsidR="006647F4" w14:paraId="765B2417" w14:textId="77777777" w:rsidTr="006647F4">
        <w:trPr>
          <w:trHeight w:val="321"/>
        </w:trPr>
        <w:tc>
          <w:tcPr>
            <w:tcW w:w="2250" w:type="dxa"/>
          </w:tcPr>
          <w:p w14:paraId="1EE021A9" w14:textId="77777777" w:rsidR="006647F4" w:rsidRDefault="006647F4" w:rsidP="004D035C">
            <w:r>
              <w:t>Influenza</w:t>
            </w:r>
          </w:p>
        </w:tc>
        <w:tc>
          <w:tcPr>
            <w:tcW w:w="13343" w:type="dxa"/>
            <w:gridSpan w:val="12"/>
          </w:tcPr>
          <w:p w14:paraId="17781F72" w14:textId="77777777" w:rsidR="006647F4" w:rsidRDefault="006647F4" w:rsidP="004D035C">
            <w:pPr>
              <w:jc w:val="center"/>
            </w:pPr>
            <w:r>
              <w:t xml:space="preserve">Annual </w:t>
            </w:r>
          </w:p>
        </w:tc>
      </w:tr>
      <w:tr w:rsidR="006647F4" w14:paraId="6D76A86A" w14:textId="77777777" w:rsidTr="006647F4">
        <w:trPr>
          <w:trHeight w:val="303"/>
        </w:trPr>
        <w:tc>
          <w:tcPr>
            <w:tcW w:w="2250" w:type="dxa"/>
          </w:tcPr>
          <w:p w14:paraId="218471BB" w14:textId="77777777" w:rsidR="006647F4" w:rsidRDefault="006647F4" w:rsidP="004D035C">
            <w:r>
              <w:t>Pneumococcal</w:t>
            </w:r>
          </w:p>
        </w:tc>
        <w:tc>
          <w:tcPr>
            <w:tcW w:w="13343" w:type="dxa"/>
            <w:gridSpan w:val="12"/>
          </w:tcPr>
          <w:p w14:paraId="710BD1A5" w14:textId="77777777" w:rsidR="006647F4" w:rsidRDefault="006647F4" w:rsidP="004D035C">
            <w:pPr>
              <w:jc w:val="center"/>
            </w:pPr>
            <w:r>
              <w:t>Every 5 years</w:t>
            </w:r>
          </w:p>
        </w:tc>
      </w:tr>
    </w:tbl>
    <w:p w14:paraId="7C27E5E9" w14:textId="77777777" w:rsidR="006647F4" w:rsidRDefault="006647F4" w:rsidP="006647F4"/>
    <w:p w14:paraId="11878C24" w14:textId="6BA8CAC3" w:rsidR="0072456C" w:rsidRPr="0072456C" w:rsidRDefault="0072456C" w:rsidP="006647F4">
      <w:pPr>
        <w:rPr>
          <w:b/>
          <w:u w:val="single"/>
        </w:rPr>
      </w:pPr>
      <w:r w:rsidRPr="0072456C">
        <w:rPr>
          <w:b/>
          <w:u w:val="single"/>
        </w:rPr>
        <w:t>BONE HEALTH-</w:t>
      </w:r>
    </w:p>
    <w:p w14:paraId="1817FF45" w14:textId="77777777" w:rsidR="0072456C" w:rsidRDefault="0072456C" w:rsidP="006647F4"/>
    <w:tbl>
      <w:tblPr>
        <w:tblStyle w:val="TableGrid"/>
        <w:tblW w:w="27243" w:type="dxa"/>
        <w:tblInd w:w="-610" w:type="dxa"/>
        <w:tblLook w:val="04A0" w:firstRow="1" w:lastRow="0" w:firstColumn="1" w:lastColumn="0" w:noHBand="0" w:noVBand="1"/>
      </w:tblPr>
      <w:tblGrid>
        <w:gridCol w:w="15779"/>
        <w:gridCol w:w="896"/>
        <w:gridCol w:w="896"/>
        <w:gridCol w:w="803"/>
        <w:gridCol w:w="803"/>
        <w:gridCol w:w="910"/>
        <w:gridCol w:w="910"/>
        <w:gridCol w:w="910"/>
        <w:gridCol w:w="910"/>
        <w:gridCol w:w="910"/>
        <w:gridCol w:w="910"/>
        <w:gridCol w:w="910"/>
        <w:gridCol w:w="1696"/>
      </w:tblGrid>
      <w:tr w:rsidR="006647F4" w14:paraId="2006A8E3" w14:textId="77777777" w:rsidTr="00B975E9">
        <w:trPr>
          <w:trHeight w:val="387"/>
        </w:trPr>
        <w:tc>
          <w:tcPr>
            <w:tcW w:w="15779" w:type="dxa"/>
          </w:tcPr>
          <w:tbl>
            <w:tblPr>
              <w:tblStyle w:val="TableGrid"/>
              <w:tblW w:w="15525" w:type="dxa"/>
              <w:tblLook w:val="04A0" w:firstRow="1" w:lastRow="0" w:firstColumn="1" w:lastColumn="0" w:noHBand="0" w:noVBand="1"/>
            </w:tblPr>
            <w:tblGrid>
              <w:gridCol w:w="1563"/>
              <w:gridCol w:w="896"/>
              <w:gridCol w:w="896"/>
              <w:gridCol w:w="803"/>
              <w:gridCol w:w="803"/>
              <w:gridCol w:w="86"/>
              <w:gridCol w:w="824"/>
              <w:gridCol w:w="910"/>
              <w:gridCol w:w="910"/>
              <w:gridCol w:w="910"/>
              <w:gridCol w:w="910"/>
              <w:gridCol w:w="910"/>
              <w:gridCol w:w="910"/>
              <w:gridCol w:w="4194"/>
            </w:tblGrid>
            <w:tr w:rsidR="00A74128" w:rsidRPr="0030162E" w14:paraId="6412DA85" w14:textId="77777777" w:rsidTr="00A74128">
              <w:trPr>
                <w:trHeight w:val="235"/>
              </w:trPr>
              <w:tc>
                <w:tcPr>
                  <w:tcW w:w="1563" w:type="dxa"/>
                </w:tcPr>
                <w:p w14:paraId="1E5DA71F" w14:textId="77777777" w:rsidR="00B975E9" w:rsidRDefault="00B975E9" w:rsidP="00B975E9"/>
              </w:tc>
              <w:tc>
                <w:tcPr>
                  <w:tcW w:w="896" w:type="dxa"/>
                </w:tcPr>
                <w:p w14:paraId="09E10278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Weeks 1-4</w:t>
                  </w:r>
                </w:p>
              </w:tc>
              <w:tc>
                <w:tcPr>
                  <w:tcW w:w="896" w:type="dxa"/>
                </w:tcPr>
                <w:p w14:paraId="18286909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 xml:space="preserve">Weeks </w:t>
                  </w:r>
                </w:p>
                <w:p w14:paraId="61523946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5-8</w:t>
                  </w:r>
                </w:p>
              </w:tc>
              <w:tc>
                <w:tcPr>
                  <w:tcW w:w="803" w:type="dxa"/>
                </w:tcPr>
                <w:p w14:paraId="2A6C2110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Week 10</w:t>
                  </w:r>
                </w:p>
              </w:tc>
              <w:tc>
                <w:tcPr>
                  <w:tcW w:w="803" w:type="dxa"/>
                </w:tcPr>
                <w:p w14:paraId="113D30E4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Week 12</w:t>
                  </w:r>
                </w:p>
              </w:tc>
              <w:tc>
                <w:tcPr>
                  <w:tcW w:w="910" w:type="dxa"/>
                  <w:gridSpan w:val="2"/>
                </w:tcPr>
                <w:p w14:paraId="738958A4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4</w:t>
                  </w:r>
                </w:p>
              </w:tc>
              <w:tc>
                <w:tcPr>
                  <w:tcW w:w="910" w:type="dxa"/>
                </w:tcPr>
                <w:p w14:paraId="771A8628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5</w:t>
                  </w:r>
                </w:p>
              </w:tc>
              <w:tc>
                <w:tcPr>
                  <w:tcW w:w="910" w:type="dxa"/>
                </w:tcPr>
                <w:p w14:paraId="4F99B307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6</w:t>
                  </w:r>
                </w:p>
              </w:tc>
              <w:tc>
                <w:tcPr>
                  <w:tcW w:w="910" w:type="dxa"/>
                </w:tcPr>
                <w:p w14:paraId="5675EF2E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7</w:t>
                  </w:r>
                </w:p>
              </w:tc>
              <w:tc>
                <w:tcPr>
                  <w:tcW w:w="910" w:type="dxa"/>
                </w:tcPr>
                <w:p w14:paraId="0565972C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8</w:t>
                  </w:r>
                </w:p>
              </w:tc>
              <w:tc>
                <w:tcPr>
                  <w:tcW w:w="910" w:type="dxa"/>
                </w:tcPr>
                <w:p w14:paraId="25653632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9</w:t>
                  </w:r>
                </w:p>
              </w:tc>
              <w:tc>
                <w:tcPr>
                  <w:tcW w:w="910" w:type="dxa"/>
                </w:tcPr>
                <w:p w14:paraId="36DCF362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 12</w:t>
                  </w:r>
                </w:p>
              </w:tc>
              <w:tc>
                <w:tcPr>
                  <w:tcW w:w="4194" w:type="dxa"/>
                </w:tcPr>
                <w:p w14:paraId="5571BA8F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&gt;12</w:t>
                  </w:r>
                </w:p>
                <w:p w14:paraId="070EF67D" w14:textId="77777777" w:rsidR="00B975E9" w:rsidRPr="0030162E" w:rsidRDefault="00B975E9" w:rsidP="00B975E9">
                  <w:pPr>
                    <w:rPr>
                      <w:b/>
                      <w:color w:val="1F4E79" w:themeColor="accent1" w:themeShade="80"/>
                    </w:rPr>
                  </w:pPr>
                  <w:r w:rsidRPr="0030162E">
                    <w:rPr>
                      <w:b/>
                      <w:color w:val="1F4E79" w:themeColor="accent1" w:themeShade="80"/>
                    </w:rPr>
                    <w:t>Months</w:t>
                  </w:r>
                </w:p>
              </w:tc>
            </w:tr>
            <w:tr w:rsidR="00B975E9" w14:paraId="55F698F0" w14:textId="77777777" w:rsidTr="00A74128">
              <w:trPr>
                <w:trHeight w:val="222"/>
              </w:trPr>
              <w:tc>
                <w:tcPr>
                  <w:tcW w:w="1563" w:type="dxa"/>
                </w:tcPr>
                <w:p w14:paraId="42561A99" w14:textId="77777777" w:rsidR="00B975E9" w:rsidRPr="0030162E" w:rsidRDefault="00B975E9" w:rsidP="00B975E9">
                  <w:pPr>
                    <w:rPr>
                      <w:b/>
                    </w:rPr>
                  </w:pPr>
                  <w:r w:rsidRPr="0030162E">
                    <w:rPr>
                      <w:b/>
                      <w:color w:val="00B0F0"/>
                    </w:rPr>
                    <w:t>Bone Density Management</w:t>
                  </w:r>
                </w:p>
              </w:tc>
              <w:tc>
                <w:tcPr>
                  <w:tcW w:w="13962" w:type="dxa"/>
                  <w:gridSpan w:val="13"/>
                </w:tcPr>
                <w:p w14:paraId="7C474A34" w14:textId="77777777" w:rsidR="00B975E9" w:rsidRDefault="00B975E9" w:rsidP="00B975E9"/>
              </w:tc>
            </w:tr>
            <w:tr w:rsidR="00B975E9" w14:paraId="710D03A3" w14:textId="77777777" w:rsidTr="00A74128">
              <w:trPr>
                <w:trHeight w:val="222"/>
              </w:trPr>
              <w:tc>
                <w:tcPr>
                  <w:tcW w:w="1563" w:type="dxa"/>
                </w:tcPr>
                <w:p w14:paraId="70560654" w14:textId="77777777" w:rsidR="00B975E9" w:rsidRDefault="00B975E9" w:rsidP="00B975E9">
                  <w:r>
                    <w:t>PTH</w:t>
                  </w:r>
                </w:p>
              </w:tc>
              <w:tc>
                <w:tcPr>
                  <w:tcW w:w="896" w:type="dxa"/>
                  <w:vMerge w:val="restart"/>
                </w:tcPr>
                <w:p w14:paraId="2F3DA7DF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  <w:r>
                    <w:sym w:font="Wingdings" w:char="F0FE"/>
                  </w:r>
                </w:p>
              </w:tc>
              <w:tc>
                <w:tcPr>
                  <w:tcW w:w="1699" w:type="dxa"/>
                  <w:gridSpan w:val="2"/>
                  <w:vMerge w:val="restart"/>
                </w:tcPr>
                <w:p w14:paraId="6B5DEA74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gridSpan w:val="2"/>
                  <w:vMerge w:val="restart"/>
                </w:tcPr>
                <w:p w14:paraId="0CF8592F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  <w:r>
                    <w:sym w:font="Wingdings" w:char="F0FE"/>
                  </w:r>
                </w:p>
              </w:tc>
              <w:tc>
                <w:tcPr>
                  <w:tcW w:w="1734" w:type="dxa"/>
                  <w:gridSpan w:val="2"/>
                  <w:vMerge w:val="restart"/>
                </w:tcPr>
                <w:p w14:paraId="2E820910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Merge w:val="restart"/>
                </w:tcPr>
                <w:p w14:paraId="4DA26C00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  <w:r>
                    <w:sym w:font="Wingdings" w:char="F0FE"/>
                  </w:r>
                </w:p>
              </w:tc>
              <w:tc>
                <w:tcPr>
                  <w:tcW w:w="2730" w:type="dxa"/>
                  <w:gridSpan w:val="3"/>
                  <w:vMerge w:val="restart"/>
                </w:tcPr>
                <w:p w14:paraId="6B1616E3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Merge w:val="restart"/>
                </w:tcPr>
                <w:p w14:paraId="4978E8F7" w14:textId="77777777" w:rsidR="00B975E9" w:rsidRDefault="00B975E9" w:rsidP="00B975E9">
                  <w:r>
                    <w:sym w:font="Wingdings" w:char="F0FE"/>
                  </w:r>
                </w:p>
              </w:tc>
              <w:tc>
                <w:tcPr>
                  <w:tcW w:w="4194" w:type="dxa"/>
                  <w:vMerge w:val="restart"/>
                </w:tcPr>
                <w:p w14:paraId="3E8E3827" w14:textId="77777777" w:rsidR="00B975E9" w:rsidRDefault="00B975E9" w:rsidP="00B975E9">
                  <w:r>
                    <w:t>Annual</w:t>
                  </w:r>
                </w:p>
              </w:tc>
            </w:tr>
            <w:tr w:rsidR="00B975E9" w14:paraId="5762E6D7" w14:textId="77777777" w:rsidTr="00A74128">
              <w:trPr>
                <w:trHeight w:val="222"/>
              </w:trPr>
              <w:tc>
                <w:tcPr>
                  <w:tcW w:w="1563" w:type="dxa"/>
                </w:tcPr>
                <w:p w14:paraId="1B516B65" w14:textId="77777777" w:rsidR="00B975E9" w:rsidRDefault="00B975E9" w:rsidP="00B975E9">
                  <w:proofErr w:type="spellStart"/>
                  <w:r>
                    <w:t>Vit</w:t>
                  </w:r>
                  <w:proofErr w:type="spellEnd"/>
                  <w:r>
                    <w:t xml:space="preserve"> D</w:t>
                  </w:r>
                </w:p>
              </w:tc>
              <w:tc>
                <w:tcPr>
                  <w:tcW w:w="896" w:type="dxa"/>
                  <w:vMerge/>
                </w:tcPr>
                <w:p w14:paraId="1D91B9D1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9" w:type="dxa"/>
                  <w:gridSpan w:val="2"/>
                  <w:vMerge/>
                </w:tcPr>
                <w:p w14:paraId="7A923C45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gridSpan w:val="2"/>
                  <w:vMerge/>
                </w:tcPr>
                <w:p w14:paraId="571F2FDB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vMerge/>
                </w:tcPr>
                <w:p w14:paraId="627BCA16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Merge/>
                </w:tcPr>
                <w:p w14:paraId="42048C8D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3"/>
                  <w:vMerge/>
                </w:tcPr>
                <w:p w14:paraId="4390DFE7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vMerge/>
                </w:tcPr>
                <w:p w14:paraId="27EA833A" w14:textId="77777777" w:rsidR="00B975E9" w:rsidRDefault="00B975E9" w:rsidP="00B975E9"/>
              </w:tc>
              <w:tc>
                <w:tcPr>
                  <w:tcW w:w="4194" w:type="dxa"/>
                  <w:vMerge/>
                </w:tcPr>
                <w:p w14:paraId="6AB90788" w14:textId="77777777" w:rsidR="00B975E9" w:rsidRDefault="00B975E9" w:rsidP="00B975E9"/>
              </w:tc>
            </w:tr>
            <w:tr w:rsidR="00B975E9" w14:paraId="4C891796" w14:textId="77777777" w:rsidTr="00A74128">
              <w:trPr>
                <w:trHeight w:val="222"/>
              </w:trPr>
              <w:tc>
                <w:tcPr>
                  <w:tcW w:w="1563" w:type="dxa"/>
                </w:tcPr>
                <w:p w14:paraId="083E984E" w14:textId="1614EBE1" w:rsidR="00B975E9" w:rsidRDefault="00B975E9" w:rsidP="00B975E9">
                  <w:r>
                    <w:t>Bone Density Scan (DEXA)</w:t>
                  </w:r>
                  <w:r w:rsidR="008D7EFD">
                    <w:t>-follow renal protocol</w:t>
                  </w:r>
                </w:p>
              </w:tc>
              <w:tc>
                <w:tcPr>
                  <w:tcW w:w="5218" w:type="dxa"/>
                  <w:gridSpan w:val="7"/>
                </w:tcPr>
                <w:p w14:paraId="6465A5C6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</w:tcPr>
                <w:p w14:paraId="2A959B09" w14:textId="77777777" w:rsidR="00B975E9" w:rsidRDefault="00B975E9" w:rsidP="00B975E9">
                  <w:pPr>
                    <w:rPr>
                      <w:sz w:val="20"/>
                      <w:szCs w:val="20"/>
                    </w:rPr>
                  </w:pPr>
                  <w:r>
                    <w:sym w:font="Wingdings" w:char="F0FE"/>
                  </w:r>
                </w:p>
              </w:tc>
              <w:tc>
                <w:tcPr>
                  <w:tcW w:w="3640" w:type="dxa"/>
                  <w:gridSpan w:val="4"/>
                </w:tcPr>
                <w:p w14:paraId="486976A5" w14:textId="77777777" w:rsidR="00B975E9" w:rsidRDefault="00B975E9" w:rsidP="00B975E9"/>
              </w:tc>
              <w:tc>
                <w:tcPr>
                  <w:tcW w:w="4194" w:type="dxa"/>
                </w:tcPr>
                <w:p w14:paraId="10F971A2" w14:textId="77777777" w:rsidR="00B975E9" w:rsidRDefault="00B975E9" w:rsidP="00B975E9">
                  <w:r>
                    <w:t>Annual</w:t>
                  </w:r>
                </w:p>
              </w:tc>
            </w:tr>
          </w:tbl>
          <w:p w14:paraId="425AB720" w14:textId="77777777" w:rsidR="00B975E9" w:rsidRPr="00341C1A" w:rsidRDefault="00B975E9" w:rsidP="00B975E9"/>
          <w:p w14:paraId="6700A65B" w14:textId="77777777" w:rsidR="006647F4" w:rsidRDefault="006647F4" w:rsidP="004D035C"/>
          <w:p w14:paraId="1EFACD4C" w14:textId="77777777" w:rsidR="00A74128" w:rsidRDefault="00A74128" w:rsidP="004D035C"/>
          <w:p w14:paraId="16A2A717" w14:textId="77777777" w:rsidR="00A74128" w:rsidRDefault="00A74128" w:rsidP="004D035C"/>
          <w:p w14:paraId="58153CE5" w14:textId="77777777" w:rsidR="00BC0B80" w:rsidRDefault="00BC0B80" w:rsidP="004D035C"/>
          <w:p w14:paraId="41CE051E" w14:textId="77777777" w:rsidR="00BC0B80" w:rsidRDefault="00BC0B80" w:rsidP="004D035C"/>
          <w:p w14:paraId="17A72745" w14:textId="77777777" w:rsidR="00BC0B80" w:rsidRDefault="00BC0B80" w:rsidP="004D035C"/>
          <w:p w14:paraId="029A2D9B" w14:textId="77777777" w:rsidR="00BC0B80" w:rsidRDefault="00BC0B80" w:rsidP="004D035C"/>
          <w:p w14:paraId="6FD434E0" w14:textId="77777777" w:rsidR="00BC0B80" w:rsidRDefault="00BC0B80" w:rsidP="004D035C"/>
          <w:p w14:paraId="3AFD5D9A" w14:textId="77777777" w:rsidR="00BC0B80" w:rsidRDefault="00BC0B80" w:rsidP="004D035C"/>
          <w:p w14:paraId="45778CBB" w14:textId="091226C5" w:rsidR="0072456C" w:rsidRPr="0072456C" w:rsidRDefault="0072456C" w:rsidP="004D035C">
            <w:pPr>
              <w:rPr>
                <w:b/>
                <w:u w:val="single"/>
              </w:rPr>
            </w:pPr>
            <w:r w:rsidRPr="0072456C">
              <w:rPr>
                <w:b/>
                <w:u w:val="single"/>
              </w:rPr>
              <w:t>CANCER SCREENING</w:t>
            </w:r>
          </w:p>
          <w:p w14:paraId="78F0E5F5" w14:textId="77777777" w:rsidR="00A74128" w:rsidRDefault="00A74128" w:rsidP="004D035C"/>
          <w:p w14:paraId="4D4E45FA" w14:textId="77777777" w:rsidR="00A74128" w:rsidRDefault="00A74128" w:rsidP="004D035C"/>
        </w:tc>
        <w:tc>
          <w:tcPr>
            <w:tcW w:w="896" w:type="dxa"/>
          </w:tcPr>
          <w:p w14:paraId="4EDF5DEA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Weeks 1-4</w:t>
            </w:r>
          </w:p>
        </w:tc>
        <w:tc>
          <w:tcPr>
            <w:tcW w:w="896" w:type="dxa"/>
          </w:tcPr>
          <w:p w14:paraId="6A22A888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 xml:space="preserve">Weeks </w:t>
            </w:r>
          </w:p>
          <w:p w14:paraId="4EA85108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5-8</w:t>
            </w:r>
          </w:p>
        </w:tc>
        <w:tc>
          <w:tcPr>
            <w:tcW w:w="803" w:type="dxa"/>
          </w:tcPr>
          <w:p w14:paraId="2A3981C4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Week 10</w:t>
            </w:r>
          </w:p>
        </w:tc>
        <w:tc>
          <w:tcPr>
            <w:tcW w:w="803" w:type="dxa"/>
          </w:tcPr>
          <w:p w14:paraId="7B33F838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Week 12</w:t>
            </w:r>
          </w:p>
        </w:tc>
        <w:tc>
          <w:tcPr>
            <w:tcW w:w="910" w:type="dxa"/>
          </w:tcPr>
          <w:p w14:paraId="13C66925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4</w:t>
            </w:r>
          </w:p>
        </w:tc>
        <w:tc>
          <w:tcPr>
            <w:tcW w:w="910" w:type="dxa"/>
          </w:tcPr>
          <w:p w14:paraId="3DBC5A07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5</w:t>
            </w:r>
          </w:p>
        </w:tc>
        <w:tc>
          <w:tcPr>
            <w:tcW w:w="910" w:type="dxa"/>
          </w:tcPr>
          <w:p w14:paraId="7DD6911C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6</w:t>
            </w:r>
          </w:p>
        </w:tc>
        <w:tc>
          <w:tcPr>
            <w:tcW w:w="910" w:type="dxa"/>
          </w:tcPr>
          <w:p w14:paraId="2B89E5D2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7</w:t>
            </w:r>
          </w:p>
        </w:tc>
        <w:tc>
          <w:tcPr>
            <w:tcW w:w="910" w:type="dxa"/>
          </w:tcPr>
          <w:p w14:paraId="64426C7F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8</w:t>
            </w:r>
          </w:p>
        </w:tc>
        <w:tc>
          <w:tcPr>
            <w:tcW w:w="910" w:type="dxa"/>
          </w:tcPr>
          <w:p w14:paraId="634941B7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9</w:t>
            </w:r>
          </w:p>
        </w:tc>
        <w:tc>
          <w:tcPr>
            <w:tcW w:w="910" w:type="dxa"/>
          </w:tcPr>
          <w:p w14:paraId="0C6AF3CF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 12</w:t>
            </w:r>
          </w:p>
        </w:tc>
        <w:tc>
          <w:tcPr>
            <w:tcW w:w="1696" w:type="dxa"/>
          </w:tcPr>
          <w:p w14:paraId="7E17F601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&gt;12</w:t>
            </w:r>
          </w:p>
          <w:p w14:paraId="78459233" w14:textId="77777777" w:rsidR="006647F4" w:rsidRPr="0030162E" w:rsidRDefault="006647F4" w:rsidP="004D035C">
            <w:pPr>
              <w:rPr>
                <w:b/>
                <w:color w:val="1F4E79" w:themeColor="accent1" w:themeShade="80"/>
              </w:rPr>
            </w:pPr>
            <w:r w:rsidRPr="0030162E">
              <w:rPr>
                <w:b/>
                <w:color w:val="1F4E79" w:themeColor="accent1" w:themeShade="80"/>
              </w:rPr>
              <w:t>Months</w:t>
            </w:r>
          </w:p>
        </w:tc>
      </w:tr>
      <w:tr w:rsidR="006647F4" w14:paraId="63F7B753" w14:textId="77777777" w:rsidTr="00B975E9">
        <w:trPr>
          <w:trHeight w:val="366"/>
        </w:trPr>
        <w:tc>
          <w:tcPr>
            <w:tcW w:w="15779" w:type="dxa"/>
          </w:tcPr>
          <w:tbl>
            <w:tblPr>
              <w:tblStyle w:val="TableGrid"/>
              <w:tblpPr w:leftFromText="180" w:rightFromText="180" w:vertAnchor="text" w:horzAnchor="margin" w:tblpY="71"/>
              <w:tblW w:w="15553" w:type="dxa"/>
              <w:tblLook w:val="04A0" w:firstRow="1" w:lastRow="0" w:firstColumn="1" w:lastColumn="0" w:noHBand="0" w:noVBand="1"/>
            </w:tblPr>
            <w:tblGrid>
              <w:gridCol w:w="2157"/>
              <w:gridCol w:w="1305"/>
              <w:gridCol w:w="1099"/>
              <w:gridCol w:w="1099"/>
              <w:gridCol w:w="1099"/>
              <w:gridCol w:w="1099"/>
              <w:gridCol w:w="1099"/>
              <w:gridCol w:w="1099"/>
              <w:gridCol w:w="1099"/>
              <w:gridCol w:w="1099"/>
              <w:gridCol w:w="1099"/>
              <w:gridCol w:w="1100"/>
              <w:gridCol w:w="1100"/>
            </w:tblGrid>
            <w:tr w:rsidR="006647F4" w14:paraId="08945337" w14:textId="77777777" w:rsidTr="006647F4">
              <w:trPr>
                <w:trHeight w:val="538"/>
              </w:trPr>
              <w:tc>
                <w:tcPr>
                  <w:tcW w:w="2157" w:type="dxa"/>
                </w:tcPr>
                <w:p w14:paraId="62F07323" w14:textId="77777777" w:rsidR="006647F4" w:rsidRDefault="006647F4" w:rsidP="006647F4"/>
              </w:tc>
              <w:tc>
                <w:tcPr>
                  <w:tcW w:w="1305" w:type="dxa"/>
                </w:tcPr>
                <w:p w14:paraId="3D7DE83F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Weeks 1-4</w:t>
                  </w:r>
                </w:p>
              </w:tc>
              <w:tc>
                <w:tcPr>
                  <w:tcW w:w="1099" w:type="dxa"/>
                </w:tcPr>
                <w:p w14:paraId="22438D42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Weeks</w:t>
                  </w:r>
                </w:p>
                <w:p w14:paraId="148EE4B0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 xml:space="preserve"> 5-8</w:t>
                  </w:r>
                </w:p>
              </w:tc>
              <w:tc>
                <w:tcPr>
                  <w:tcW w:w="1099" w:type="dxa"/>
                </w:tcPr>
                <w:p w14:paraId="48E7E0E5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Week 10</w:t>
                  </w:r>
                </w:p>
              </w:tc>
              <w:tc>
                <w:tcPr>
                  <w:tcW w:w="1099" w:type="dxa"/>
                </w:tcPr>
                <w:p w14:paraId="02AB8A6F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Week 12</w:t>
                  </w:r>
                </w:p>
              </w:tc>
              <w:tc>
                <w:tcPr>
                  <w:tcW w:w="1099" w:type="dxa"/>
                </w:tcPr>
                <w:p w14:paraId="09EA849E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4</w:t>
                  </w:r>
                </w:p>
              </w:tc>
              <w:tc>
                <w:tcPr>
                  <w:tcW w:w="1099" w:type="dxa"/>
                </w:tcPr>
                <w:p w14:paraId="04EE4F09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5</w:t>
                  </w:r>
                </w:p>
              </w:tc>
              <w:tc>
                <w:tcPr>
                  <w:tcW w:w="1099" w:type="dxa"/>
                </w:tcPr>
                <w:p w14:paraId="455AC821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6</w:t>
                  </w:r>
                </w:p>
              </w:tc>
              <w:tc>
                <w:tcPr>
                  <w:tcW w:w="1099" w:type="dxa"/>
                </w:tcPr>
                <w:p w14:paraId="46BC6997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7</w:t>
                  </w:r>
                </w:p>
              </w:tc>
              <w:tc>
                <w:tcPr>
                  <w:tcW w:w="1099" w:type="dxa"/>
                </w:tcPr>
                <w:p w14:paraId="452BA35E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8</w:t>
                  </w:r>
                </w:p>
              </w:tc>
              <w:tc>
                <w:tcPr>
                  <w:tcW w:w="1099" w:type="dxa"/>
                </w:tcPr>
                <w:p w14:paraId="36271B00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 xml:space="preserve">Month 9 </w:t>
                  </w:r>
                </w:p>
              </w:tc>
              <w:tc>
                <w:tcPr>
                  <w:tcW w:w="1100" w:type="dxa"/>
                </w:tcPr>
                <w:p w14:paraId="15439E47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 12</w:t>
                  </w:r>
                </w:p>
              </w:tc>
              <w:tc>
                <w:tcPr>
                  <w:tcW w:w="1100" w:type="dxa"/>
                </w:tcPr>
                <w:p w14:paraId="5E1BC403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 xml:space="preserve">&gt;12 </w:t>
                  </w:r>
                </w:p>
                <w:p w14:paraId="6A3B8619" w14:textId="77777777" w:rsidR="006647F4" w:rsidRPr="004F7309" w:rsidRDefault="006647F4" w:rsidP="006647F4">
                  <w:pPr>
                    <w:rPr>
                      <w:b/>
                      <w:color w:val="1F4E79" w:themeColor="accent1" w:themeShade="80"/>
                    </w:rPr>
                  </w:pPr>
                  <w:r w:rsidRPr="004F7309">
                    <w:rPr>
                      <w:b/>
                      <w:color w:val="1F4E79" w:themeColor="accent1" w:themeShade="80"/>
                    </w:rPr>
                    <w:t>Months</w:t>
                  </w:r>
                </w:p>
              </w:tc>
            </w:tr>
            <w:tr w:rsidR="006647F4" w14:paraId="79E25F76" w14:textId="77777777" w:rsidTr="006647F4">
              <w:trPr>
                <w:trHeight w:val="509"/>
              </w:trPr>
              <w:tc>
                <w:tcPr>
                  <w:tcW w:w="2157" w:type="dxa"/>
                </w:tcPr>
                <w:p w14:paraId="3D490832" w14:textId="77777777" w:rsidR="006647F4" w:rsidRPr="004F7309" w:rsidRDefault="006647F4" w:rsidP="006647F4">
                  <w:pPr>
                    <w:rPr>
                      <w:b/>
                    </w:rPr>
                  </w:pPr>
                  <w:r w:rsidRPr="004F7309">
                    <w:rPr>
                      <w:b/>
                      <w:color w:val="00B0F0"/>
                    </w:rPr>
                    <w:t>Cancer screening and Prophylaxis</w:t>
                  </w:r>
                </w:p>
              </w:tc>
              <w:tc>
                <w:tcPr>
                  <w:tcW w:w="13396" w:type="dxa"/>
                  <w:gridSpan w:val="12"/>
                </w:tcPr>
                <w:p w14:paraId="35CC4E3E" w14:textId="77777777" w:rsidR="006647F4" w:rsidRDefault="006647F4" w:rsidP="006647F4"/>
              </w:tc>
            </w:tr>
            <w:tr w:rsidR="006647F4" w14:paraId="1650E3EB" w14:textId="77777777" w:rsidTr="006647F4">
              <w:trPr>
                <w:trHeight w:val="538"/>
              </w:trPr>
              <w:tc>
                <w:tcPr>
                  <w:tcW w:w="2157" w:type="dxa"/>
                </w:tcPr>
                <w:p w14:paraId="7C7521E2" w14:textId="77777777" w:rsidR="006647F4" w:rsidRDefault="006647F4" w:rsidP="006647F4">
                  <w:r>
                    <w:t>General Exams</w:t>
                  </w:r>
                </w:p>
              </w:tc>
              <w:tc>
                <w:tcPr>
                  <w:tcW w:w="12296" w:type="dxa"/>
                  <w:gridSpan w:val="11"/>
                </w:tcPr>
                <w:p w14:paraId="34A1CA39" w14:textId="77777777" w:rsidR="006647F4" w:rsidRDefault="006647F4" w:rsidP="006647F4">
                  <w:r>
                    <w:t>Exams by PCP: Breast (&gt;40 years old), Cervical (&gt;18 years old), Prostate (&gt;40 years old)</w:t>
                  </w:r>
                </w:p>
              </w:tc>
              <w:tc>
                <w:tcPr>
                  <w:tcW w:w="1100" w:type="dxa"/>
                </w:tcPr>
                <w:p w14:paraId="3DD7AE92" w14:textId="77777777" w:rsidR="006647F4" w:rsidRDefault="006647F4" w:rsidP="006647F4">
                  <w:r>
                    <w:t>Annual</w:t>
                  </w:r>
                </w:p>
              </w:tc>
            </w:tr>
            <w:tr w:rsidR="006647F4" w14:paraId="1341F28E" w14:textId="77777777" w:rsidTr="006647F4">
              <w:trPr>
                <w:trHeight w:val="538"/>
              </w:trPr>
              <w:tc>
                <w:tcPr>
                  <w:tcW w:w="2157" w:type="dxa"/>
                </w:tcPr>
                <w:p w14:paraId="38446FC9" w14:textId="77777777" w:rsidR="006647F4" w:rsidRDefault="006647F4" w:rsidP="006647F4">
                  <w:r>
                    <w:t>Dermatology</w:t>
                  </w:r>
                </w:p>
              </w:tc>
              <w:tc>
                <w:tcPr>
                  <w:tcW w:w="12296" w:type="dxa"/>
                  <w:gridSpan w:val="11"/>
                </w:tcPr>
                <w:p w14:paraId="34813B73" w14:textId="77777777" w:rsidR="006647F4" w:rsidRDefault="006647F4" w:rsidP="006647F4"/>
              </w:tc>
              <w:tc>
                <w:tcPr>
                  <w:tcW w:w="1100" w:type="dxa"/>
                </w:tcPr>
                <w:p w14:paraId="5CD284EA" w14:textId="77777777" w:rsidR="006647F4" w:rsidRDefault="006647F4" w:rsidP="006647F4">
                  <w:r>
                    <w:t>Annual</w:t>
                  </w:r>
                </w:p>
              </w:tc>
            </w:tr>
            <w:tr w:rsidR="006647F4" w14:paraId="3760840F" w14:textId="77777777" w:rsidTr="006647F4">
              <w:trPr>
                <w:trHeight w:val="530"/>
              </w:trPr>
              <w:tc>
                <w:tcPr>
                  <w:tcW w:w="2157" w:type="dxa"/>
                </w:tcPr>
                <w:p w14:paraId="6402FA7D" w14:textId="77777777" w:rsidR="006647F4" w:rsidRDefault="006647F4" w:rsidP="006647F4">
                  <w:r>
                    <w:t>Sigmoidoscopy or Colonoscopy</w:t>
                  </w:r>
                </w:p>
              </w:tc>
              <w:tc>
                <w:tcPr>
                  <w:tcW w:w="12296" w:type="dxa"/>
                  <w:gridSpan w:val="11"/>
                </w:tcPr>
                <w:p w14:paraId="6150837F" w14:textId="77777777" w:rsidR="006647F4" w:rsidRDefault="006647F4" w:rsidP="006647F4">
                  <w:r w:rsidRPr="004F7309">
                    <w:rPr>
                      <w:b/>
                    </w:rPr>
                    <w:t>Colorectal screening</w:t>
                  </w:r>
                  <w:r>
                    <w:t>: Colonoscopy prior to or at 1 year post OLT, if negative, FOBT in 5 years</w:t>
                  </w:r>
                </w:p>
                <w:p w14:paraId="68D1832A" w14:textId="77777777" w:rsidR="006647F4" w:rsidRDefault="006647F4" w:rsidP="006647F4">
                  <w:r w:rsidRPr="004F7309">
                    <w:rPr>
                      <w:b/>
                    </w:rPr>
                    <w:t>Colorectal cancer screening</w:t>
                  </w:r>
                  <w:r>
                    <w:t>: If negative, repeat colonoscopy 10 years after previous negative colonoscopy</w:t>
                  </w:r>
                </w:p>
                <w:p w14:paraId="48A1CEE7" w14:textId="77777777" w:rsidR="006647F4" w:rsidRDefault="006647F4" w:rsidP="006647F4">
                  <w:r w:rsidRPr="004F7309">
                    <w:rPr>
                      <w:b/>
                    </w:rPr>
                    <w:t>PSC and UC</w:t>
                  </w:r>
                  <w:r>
                    <w:t>: annual colonoscopy and surveillance biopsies; maintain breast, cervical, prostate exams</w:t>
                  </w:r>
                </w:p>
              </w:tc>
              <w:tc>
                <w:tcPr>
                  <w:tcW w:w="1100" w:type="dxa"/>
                </w:tcPr>
                <w:p w14:paraId="028B5C4C" w14:textId="77777777" w:rsidR="006647F4" w:rsidRDefault="006647F4" w:rsidP="006647F4">
                  <w:r>
                    <w:t>Every 5 -10 years</w:t>
                  </w:r>
                </w:p>
              </w:tc>
            </w:tr>
          </w:tbl>
          <w:p w14:paraId="3A89D7C5" w14:textId="15A27BD6" w:rsidR="006647F4" w:rsidRPr="0030162E" w:rsidRDefault="006647F4" w:rsidP="004D035C">
            <w:pPr>
              <w:rPr>
                <w:b/>
              </w:rPr>
            </w:pPr>
          </w:p>
        </w:tc>
        <w:tc>
          <w:tcPr>
            <w:tcW w:w="11464" w:type="dxa"/>
            <w:gridSpan w:val="12"/>
          </w:tcPr>
          <w:p w14:paraId="55276919" w14:textId="77777777" w:rsidR="006647F4" w:rsidRDefault="006647F4" w:rsidP="004D035C"/>
        </w:tc>
      </w:tr>
    </w:tbl>
    <w:p w14:paraId="4B4B3DDC" w14:textId="77777777" w:rsidR="00A74128" w:rsidRDefault="00A74128" w:rsidP="001E59F9">
      <w:pPr>
        <w:rPr>
          <w:bCs/>
          <w:color w:val="000080"/>
          <w:u w:val="single"/>
        </w:rPr>
      </w:pPr>
    </w:p>
    <w:p w14:paraId="2090F7C4" w14:textId="77777777" w:rsidR="00A74128" w:rsidRDefault="00A74128" w:rsidP="001E59F9">
      <w:pPr>
        <w:rPr>
          <w:bCs/>
          <w:color w:val="000080"/>
          <w:u w:val="single"/>
        </w:rPr>
      </w:pPr>
    </w:p>
    <w:p w14:paraId="747DE1AF" w14:textId="77777777" w:rsidR="00A74128" w:rsidRDefault="00A74128" w:rsidP="00A74128">
      <w:pPr>
        <w:pBdr>
          <w:top w:val="single" w:sz="4" w:space="1" w:color="auto"/>
        </w:pBdr>
        <w:rPr>
          <w:bCs/>
          <w:color w:val="000080"/>
          <w:u w:val="single"/>
        </w:rPr>
      </w:pPr>
    </w:p>
    <w:p w14:paraId="479BEB00" w14:textId="2F1FC35B" w:rsidR="001E59F9" w:rsidRPr="00EC2D1E" w:rsidRDefault="001E59F9" w:rsidP="001E59F9">
      <w:r w:rsidRPr="001E59F9">
        <w:rPr>
          <w:bCs/>
          <w:color w:val="000080"/>
          <w:u w:val="single"/>
        </w:rPr>
        <w:t>Policy:</w:t>
      </w:r>
      <w:r w:rsidRPr="001E59F9">
        <w:rPr>
          <w:bCs/>
          <w:color w:val="000000"/>
          <w:u w:val="single"/>
        </w:rPr>
        <w:t xml:space="preserve">  </w:t>
      </w:r>
      <w:r w:rsidR="00D02313" w:rsidRPr="00D02313">
        <w:rPr>
          <w:u w:val="single"/>
        </w:rPr>
        <w:t>Acute Kidney Injury requiring dialysis</w:t>
      </w:r>
      <w:r w:rsidR="00D02313">
        <w:t xml:space="preserve"> </w:t>
      </w:r>
      <w:r w:rsidRPr="001E59F9">
        <w:rPr>
          <w:bCs/>
          <w:color w:val="000000"/>
          <w:u w:val="single"/>
        </w:rPr>
        <w:t>and CKD management post Liver Transplantation</w:t>
      </w:r>
      <w:r w:rsidRPr="00EC2D1E">
        <w:rPr>
          <w:color w:val="000000"/>
        </w:rPr>
        <w:t xml:space="preserve"> 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Vision Strategy: </w:t>
      </w:r>
      <w:r w:rsidRPr="00EC2D1E">
        <w:rPr>
          <w:color w:val="000000"/>
        </w:rPr>
        <w:t>Patient Care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Policy Statement: </w:t>
      </w:r>
      <w:r w:rsidRPr="00EC2D1E">
        <w:rPr>
          <w:color w:val="000000"/>
        </w:rPr>
        <w:t>The Emory Transplant Center and all the solid organ transplant programs will comply with all applicable federal, state, and local laws, regulations, policies and protocols regarding the man</w:t>
      </w:r>
      <w:r>
        <w:rPr>
          <w:color w:val="000000"/>
        </w:rPr>
        <w:t>agement of transplant patients.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Basis: </w:t>
      </w:r>
      <w:r w:rsidRPr="00EC2D1E">
        <w:rPr>
          <w:color w:val="000000"/>
        </w:rPr>
        <w:t>This protocol is necessary for the protection of patients, physicians and staff</w:t>
      </w:r>
      <w:r w:rsidRPr="00EC2D1E">
        <w:rPr>
          <w:color w:val="000000"/>
        </w:rPr>
        <w:br/>
      </w:r>
      <w:r w:rsidRPr="00EC2D1E">
        <w:rPr>
          <w:color w:val="000000"/>
        </w:rPr>
        <w:br/>
      </w:r>
      <w:r w:rsidRPr="00EC2D1E">
        <w:rPr>
          <w:bCs/>
          <w:color w:val="000080"/>
        </w:rPr>
        <w:t xml:space="preserve">Admin Responsibility: </w:t>
      </w:r>
      <w:r w:rsidRPr="00EC2D1E">
        <w:rPr>
          <w:color w:val="000000"/>
        </w:rPr>
        <w:t>All transplant program physicians, practitioners and clinical staff members are responsible for compliance with this clinical protocol.</w:t>
      </w:r>
    </w:p>
    <w:p w14:paraId="43934713" w14:textId="77777777" w:rsidR="001E59F9" w:rsidRPr="00EC2D1E" w:rsidRDefault="001E59F9" w:rsidP="001E59F9"/>
    <w:p w14:paraId="13A5E9E1" w14:textId="77777777" w:rsidR="001E59F9" w:rsidRPr="00EC71ED" w:rsidRDefault="001E59F9" w:rsidP="001E59F9"/>
    <w:p w14:paraId="5F0A0F63" w14:textId="0533CE50" w:rsidR="001E59F9" w:rsidRPr="00EC71ED" w:rsidRDefault="001E59F9" w:rsidP="001E59F9">
      <w:r w:rsidRPr="00EC71ED">
        <w:rPr>
          <w:b/>
          <w:u w:val="single"/>
        </w:rPr>
        <w:t>SCOPE:</w:t>
      </w:r>
      <w:r w:rsidRPr="00EC71ED">
        <w:t xml:space="preserve"> </w:t>
      </w:r>
      <w:r w:rsidR="00EE283A">
        <w:t>Acute Kidney Injury Requiring Dialysis</w:t>
      </w:r>
      <w:r w:rsidR="00D02313">
        <w:t xml:space="preserve"> and CKD Management </w:t>
      </w:r>
      <w:r>
        <w:t xml:space="preserve">Post </w:t>
      </w:r>
      <w:r w:rsidR="00D02313">
        <w:t>Liver Transplantation</w:t>
      </w:r>
    </w:p>
    <w:p w14:paraId="1FFD4114" w14:textId="77777777" w:rsidR="001E59F9" w:rsidRPr="00EC71ED" w:rsidRDefault="001E59F9" w:rsidP="001E59F9"/>
    <w:p w14:paraId="51B65642" w14:textId="397650B1" w:rsidR="001E59F9" w:rsidRPr="00EC71ED" w:rsidRDefault="001E59F9" w:rsidP="001E59F9">
      <w:r w:rsidRPr="00EC71ED">
        <w:rPr>
          <w:b/>
          <w:u w:val="single"/>
        </w:rPr>
        <w:t>PURPOSE:</w:t>
      </w:r>
      <w:r w:rsidRPr="00627FB3">
        <w:t xml:space="preserve"> </w:t>
      </w:r>
      <w:r w:rsidRPr="00EC71ED">
        <w:t xml:space="preserve">The purpose of </w:t>
      </w:r>
      <w:r>
        <w:t>this</w:t>
      </w:r>
      <w:r w:rsidRPr="00EC71ED">
        <w:t xml:space="preserve"> protocol is to standardize patient management </w:t>
      </w:r>
      <w:r w:rsidR="00D02313">
        <w:t xml:space="preserve">for liver patients </w:t>
      </w:r>
      <w:r>
        <w:t>post transplantation</w:t>
      </w:r>
      <w:r w:rsidR="00D02313">
        <w:t xml:space="preserve"> who have the diagnosis of Acute Ki</w:t>
      </w:r>
      <w:r w:rsidR="00EE283A">
        <w:t>dney Injury requiring dialysis and CKD who did not qualify for SLK</w:t>
      </w:r>
    </w:p>
    <w:p w14:paraId="5B181271" w14:textId="77777777" w:rsidR="001E59F9" w:rsidRPr="00EC71ED" w:rsidRDefault="001E59F9" w:rsidP="001E59F9"/>
    <w:p w14:paraId="45886B8B" w14:textId="77777777" w:rsidR="001E59F9" w:rsidRDefault="001E59F9" w:rsidP="001E59F9">
      <w:r w:rsidRPr="00EC71ED">
        <w:rPr>
          <w:b/>
          <w:u w:val="single"/>
        </w:rPr>
        <w:t>PROCEDURE</w:t>
      </w:r>
      <w:r w:rsidRPr="00EC71ED">
        <w:rPr>
          <w:b/>
        </w:rPr>
        <w:t>:</w:t>
      </w:r>
      <w:r w:rsidRPr="00EC71ED">
        <w:t xml:space="preserve"> </w:t>
      </w:r>
    </w:p>
    <w:p w14:paraId="3CA9FBFF" w14:textId="77777777" w:rsidR="00E45CD3" w:rsidRDefault="00E45CD3" w:rsidP="00D82ADA"/>
    <w:p w14:paraId="090BBB1B" w14:textId="77777777" w:rsidR="004D035C" w:rsidRPr="004D2BFB" w:rsidRDefault="00404EAD" w:rsidP="00404EAD">
      <w:pPr>
        <w:rPr>
          <w:u w:val="single"/>
        </w:rPr>
      </w:pPr>
      <w:r w:rsidRPr="004D2BFB">
        <w:rPr>
          <w:u w:val="single"/>
        </w:rPr>
        <w:t>1.</w:t>
      </w:r>
      <w:r w:rsidR="004A6155" w:rsidRPr="004D2BFB">
        <w:rPr>
          <w:u w:val="single"/>
        </w:rPr>
        <w:t>Acute Kidney Injury requiring dialysis-</w:t>
      </w:r>
    </w:p>
    <w:p w14:paraId="53CF1DCE" w14:textId="6B762C50" w:rsidR="004A6155" w:rsidRDefault="004D2BFB" w:rsidP="00404EAD">
      <w:r>
        <w:t xml:space="preserve">A. </w:t>
      </w:r>
      <w:r w:rsidR="004D035C">
        <w:t>Definition: P</w:t>
      </w:r>
      <w:r w:rsidR="004A6155">
        <w:t xml:space="preserve">atients discharged </w:t>
      </w:r>
      <w:r>
        <w:t xml:space="preserve">on dialysis </w:t>
      </w:r>
      <w:r w:rsidR="004A6155">
        <w:t xml:space="preserve">to rehab or home </w:t>
      </w:r>
    </w:p>
    <w:p w14:paraId="33E6BE95" w14:textId="2F8ED992" w:rsidR="004D035C" w:rsidRDefault="004D2BFB" w:rsidP="00404EAD">
      <w:r>
        <w:t xml:space="preserve">B. </w:t>
      </w:r>
      <w:r w:rsidR="004D035C">
        <w:t>Process:</w:t>
      </w:r>
    </w:p>
    <w:p w14:paraId="0F3CFD46" w14:textId="6C36B96E" w:rsidR="004A6155" w:rsidRDefault="004A6155" w:rsidP="00D82ADA">
      <w:r>
        <w:t>-Nephrology team at the time of discharge should communicate with accepting nephrologist (who is managing dialysis) to watch for signs of renal recovery (UOP, Pre-dialysis labs, 24hr CrCl)</w:t>
      </w:r>
    </w:p>
    <w:p w14:paraId="4AC6835A" w14:textId="74EB0756" w:rsidR="00E45CD3" w:rsidRDefault="004A6155" w:rsidP="00D82ADA">
      <w:r>
        <w:t>-If patient is in Emory Rehab Emory Nephrology team to monitor patient for signs of recovery and document progress in hemodialysis notes at least once a week</w:t>
      </w:r>
    </w:p>
    <w:p w14:paraId="0A74B464" w14:textId="77855E68" w:rsidR="004A6155" w:rsidRDefault="004A6155" w:rsidP="00D82ADA">
      <w:r>
        <w:t>-If patient is showing signs of recovery and dialysis has been held</w:t>
      </w:r>
      <w:r w:rsidR="00E45CD3">
        <w:t>-</w:t>
      </w:r>
    </w:p>
    <w:p w14:paraId="72F22F45" w14:textId="78A2BBAD" w:rsidR="004A6155" w:rsidRDefault="004A6155" w:rsidP="00D82ADA">
      <w:r>
        <w:t>*Need to see Transplant Nephrology</w:t>
      </w:r>
      <w:r w:rsidR="007F5F92">
        <w:t>(Nephrologist at the time of discharge)</w:t>
      </w:r>
      <w:r>
        <w:t xml:space="preserve"> </w:t>
      </w:r>
      <w:r w:rsidR="007F5F92">
        <w:t>once a week or once in 2 weeks</w:t>
      </w:r>
    </w:p>
    <w:p w14:paraId="2078C053" w14:textId="31144E21" w:rsidR="007F5F92" w:rsidRDefault="007F5F92" w:rsidP="00D82ADA">
      <w:r>
        <w:t xml:space="preserve">*Labs three times/week which has to be reviewed </w:t>
      </w:r>
      <w:r w:rsidR="004D2BFB">
        <w:t xml:space="preserve">with nephrology team </w:t>
      </w:r>
      <w:r>
        <w:t xml:space="preserve">by the coordinator </w:t>
      </w:r>
    </w:p>
    <w:p w14:paraId="1606E665" w14:textId="373219DA" w:rsidR="007F5F92" w:rsidRDefault="007F5F92" w:rsidP="00D82ADA">
      <w:r>
        <w:t xml:space="preserve">*Perm </w:t>
      </w:r>
      <w:proofErr w:type="spellStart"/>
      <w:r>
        <w:t>cath</w:t>
      </w:r>
      <w:proofErr w:type="spellEnd"/>
      <w:r>
        <w:t xml:space="preserve"> removal to be arranged by IR</w:t>
      </w:r>
      <w:r w:rsidR="009F7686">
        <w:t xml:space="preserve"> </w:t>
      </w:r>
    </w:p>
    <w:p w14:paraId="445593F3" w14:textId="77777777" w:rsidR="00447E6F" w:rsidRDefault="00447E6F" w:rsidP="00D82ADA"/>
    <w:p w14:paraId="2219AA38" w14:textId="2B783484" w:rsidR="00447E6F" w:rsidRPr="004D2BFB" w:rsidRDefault="00447E6F" w:rsidP="00D82ADA">
      <w:pPr>
        <w:rPr>
          <w:u w:val="single"/>
        </w:rPr>
      </w:pPr>
      <w:r w:rsidRPr="004D2BFB">
        <w:rPr>
          <w:u w:val="single"/>
        </w:rPr>
        <w:t>2. Chronic Kidney Disease</w:t>
      </w:r>
      <w:r w:rsidR="008B1A18" w:rsidRPr="004D2BFB">
        <w:rPr>
          <w:u w:val="single"/>
        </w:rPr>
        <w:t xml:space="preserve"> post liver transplant</w:t>
      </w:r>
    </w:p>
    <w:p w14:paraId="0F0F2E0F" w14:textId="74D4D7F1" w:rsidR="00D84928" w:rsidRDefault="004D2BFB" w:rsidP="00D84928">
      <w:proofErr w:type="spellStart"/>
      <w:r>
        <w:t>A.</w:t>
      </w:r>
      <w:r w:rsidR="004D035C">
        <w:t>Definition</w:t>
      </w:r>
      <w:proofErr w:type="spellEnd"/>
      <w:r w:rsidR="004D035C">
        <w:t xml:space="preserve">: </w:t>
      </w:r>
      <w:r w:rsidR="00D84928">
        <w:t xml:space="preserve">Chronic kidney disease </w:t>
      </w:r>
      <w:r w:rsidR="00BB7D33">
        <w:t xml:space="preserve">defined as </w:t>
      </w:r>
      <w:r w:rsidR="00BB7D33" w:rsidRPr="00404EAD">
        <w:rPr>
          <w:rFonts w:ascii="Calibri" w:hAnsi="Calibri"/>
          <w:sz w:val="22"/>
          <w:szCs w:val="21"/>
        </w:rPr>
        <w:t>calculated creatinine clearance (CrCl) or glomerular filtration ra</w:t>
      </w:r>
      <w:r w:rsidR="00BB7D33">
        <w:rPr>
          <w:rFonts w:ascii="Calibri" w:hAnsi="Calibri"/>
          <w:sz w:val="22"/>
          <w:szCs w:val="21"/>
        </w:rPr>
        <w:t>te (GFR) less than  6</w:t>
      </w:r>
      <w:r w:rsidR="00BB7D33" w:rsidRPr="00404EAD">
        <w:rPr>
          <w:rFonts w:ascii="Calibri" w:hAnsi="Calibri"/>
          <w:sz w:val="22"/>
          <w:szCs w:val="21"/>
        </w:rPr>
        <w:t>0 mL/min</w:t>
      </w:r>
      <w:r w:rsidR="00BB7D33">
        <w:rPr>
          <w:rFonts w:ascii="Calibri" w:hAnsi="Calibri"/>
          <w:sz w:val="22"/>
          <w:szCs w:val="21"/>
        </w:rPr>
        <w:t xml:space="preserve"> for more than 90</w:t>
      </w:r>
      <w:r w:rsidR="00331AD7">
        <w:rPr>
          <w:rFonts w:ascii="Calibri" w:hAnsi="Calibri"/>
          <w:sz w:val="22"/>
          <w:szCs w:val="21"/>
        </w:rPr>
        <w:t xml:space="preserve"> </w:t>
      </w:r>
      <w:r w:rsidR="00BB7D33">
        <w:rPr>
          <w:rFonts w:ascii="Calibri" w:hAnsi="Calibri"/>
          <w:sz w:val="22"/>
          <w:szCs w:val="21"/>
        </w:rPr>
        <w:t xml:space="preserve">days post </w:t>
      </w:r>
      <w:r w:rsidR="00603B91">
        <w:rPr>
          <w:rFonts w:ascii="Calibri" w:hAnsi="Calibri"/>
          <w:sz w:val="22"/>
          <w:szCs w:val="21"/>
        </w:rPr>
        <w:t>transplantation. It</w:t>
      </w:r>
      <w:r w:rsidR="00BB7D33">
        <w:t xml:space="preserve"> </w:t>
      </w:r>
      <w:r w:rsidR="00D84928">
        <w:t>is a common complication after liver transplantation and has a major impact on</w:t>
      </w:r>
      <w:r w:rsidR="00E02050">
        <w:t xml:space="preserve"> graft and patient survival. </w:t>
      </w:r>
      <w:proofErr w:type="spellStart"/>
      <w:r w:rsidR="00D84928">
        <w:t>Pr</w:t>
      </w:r>
      <w:r w:rsidR="00331AD7">
        <w:t>-</w:t>
      </w:r>
      <w:r w:rsidR="00D84928">
        <w:t>etransplant</w:t>
      </w:r>
      <w:proofErr w:type="spellEnd"/>
      <w:r w:rsidR="00D84928">
        <w:t xml:space="preserve"> renal dysfunction is the most important determinant of </w:t>
      </w:r>
      <w:proofErr w:type="spellStart"/>
      <w:r w:rsidR="00D84928">
        <w:t>posttransplant</w:t>
      </w:r>
      <w:proofErr w:type="spellEnd"/>
      <w:r w:rsidR="00D84928">
        <w:t xml:space="preserve"> chronic kidney disease; other factors include the presence of diabetes/hypertension, acute kidney injury pre-transplant and post-transplant, and the use of </w:t>
      </w:r>
      <w:proofErr w:type="spellStart"/>
      <w:r w:rsidR="00D84928">
        <w:t>calcineurin</w:t>
      </w:r>
      <w:proofErr w:type="spellEnd"/>
      <w:r w:rsidR="00D84928">
        <w:t xml:space="preserve"> inhibitor-based immunosuppression</w:t>
      </w:r>
      <w:r w:rsidR="00E02050">
        <w:t xml:space="preserve">. </w:t>
      </w:r>
    </w:p>
    <w:p w14:paraId="44AB8089" w14:textId="4C5B1E8D" w:rsidR="004D035C" w:rsidRDefault="004D2BFB" w:rsidP="00D84928">
      <w:r>
        <w:t xml:space="preserve">B. </w:t>
      </w:r>
      <w:r w:rsidR="004D035C">
        <w:t xml:space="preserve">Process: </w:t>
      </w:r>
    </w:p>
    <w:p w14:paraId="026ED21A" w14:textId="1B78C0C1" w:rsidR="004D035C" w:rsidRDefault="004D035C" w:rsidP="00D84928">
      <w:r>
        <w:t>-Consult Transplant Nephrology team</w:t>
      </w:r>
    </w:p>
    <w:p w14:paraId="4FE83CFE" w14:textId="2B98F372" w:rsidR="004D035C" w:rsidRDefault="004D035C" w:rsidP="00D84928">
      <w:r>
        <w:t>-Labs pre-consultation: UA with UPCR, Ultrasound of native kidney</w:t>
      </w:r>
    </w:p>
    <w:p w14:paraId="028775D9" w14:textId="6EAE70CF" w:rsidR="004D035C" w:rsidRDefault="004D035C" w:rsidP="00D84928">
      <w:r>
        <w:t>-Transplant Nephrologist will decide-</w:t>
      </w:r>
    </w:p>
    <w:p w14:paraId="58BD209F" w14:textId="20508B93" w:rsidR="004D035C" w:rsidRDefault="004D035C" w:rsidP="00D84928">
      <w:r>
        <w:t>* Need for biopsy which will be done by IR</w:t>
      </w:r>
    </w:p>
    <w:p w14:paraId="107F37B7" w14:textId="77777777" w:rsidR="004D2BFB" w:rsidRDefault="004D035C" w:rsidP="00D84928">
      <w:r>
        <w:t>* Need to establish care with a nephrologist locally</w:t>
      </w:r>
      <w:r w:rsidR="00F46D73">
        <w:t xml:space="preserve"> or at Emory</w:t>
      </w:r>
    </w:p>
    <w:p w14:paraId="5EAFE1A9" w14:textId="091F2437" w:rsidR="004D2BFB" w:rsidRDefault="004D2BFB" w:rsidP="004D2BFB">
      <w:pPr>
        <w:pStyle w:val="ListParagraph"/>
        <w:numPr>
          <w:ilvl w:val="0"/>
          <w:numId w:val="20"/>
        </w:numPr>
      </w:pPr>
      <w:r>
        <w:t>Frequency of follow up visits</w:t>
      </w:r>
      <w:r w:rsidR="00331AD7">
        <w:t xml:space="preserve"> defer to Nephrologist</w:t>
      </w:r>
    </w:p>
    <w:p w14:paraId="246D1DDB" w14:textId="77777777" w:rsidR="00331AD7" w:rsidRDefault="00331AD7" w:rsidP="00331AD7">
      <w:pPr>
        <w:pStyle w:val="ListParagraph"/>
      </w:pPr>
    </w:p>
    <w:p w14:paraId="3D838724" w14:textId="77777777" w:rsidR="00DF0C1F" w:rsidRPr="004D2BFB" w:rsidRDefault="00DF0C1F" w:rsidP="00D82ADA">
      <w:pPr>
        <w:rPr>
          <w:u w:val="single"/>
        </w:rPr>
      </w:pPr>
    </w:p>
    <w:p w14:paraId="0ABD1AAA" w14:textId="77777777" w:rsidR="00331AD7" w:rsidRDefault="00331AD7" w:rsidP="00D82ADA">
      <w:pPr>
        <w:rPr>
          <w:u w:val="single"/>
        </w:rPr>
      </w:pPr>
    </w:p>
    <w:p w14:paraId="13B4A694" w14:textId="77777777" w:rsidR="00331AD7" w:rsidRDefault="00331AD7" w:rsidP="00D82ADA">
      <w:pPr>
        <w:rPr>
          <w:u w:val="single"/>
        </w:rPr>
      </w:pPr>
    </w:p>
    <w:p w14:paraId="146745CC" w14:textId="77777777" w:rsidR="00331AD7" w:rsidRDefault="00331AD7" w:rsidP="00D82ADA">
      <w:pPr>
        <w:rPr>
          <w:u w:val="single"/>
        </w:rPr>
      </w:pPr>
    </w:p>
    <w:p w14:paraId="58ED6844" w14:textId="77777777" w:rsidR="00331AD7" w:rsidRDefault="00331AD7" w:rsidP="00D82ADA">
      <w:pPr>
        <w:rPr>
          <w:u w:val="single"/>
        </w:rPr>
      </w:pPr>
    </w:p>
    <w:p w14:paraId="26C5EBA5" w14:textId="77777777" w:rsidR="00331AD7" w:rsidRDefault="00331AD7" w:rsidP="00D82ADA">
      <w:pPr>
        <w:rPr>
          <w:u w:val="single"/>
        </w:rPr>
      </w:pPr>
    </w:p>
    <w:p w14:paraId="73EE0FBA" w14:textId="7E79D15F" w:rsidR="00647452" w:rsidRPr="00647452" w:rsidRDefault="00647452" w:rsidP="00647452">
      <w:pPr>
        <w:pStyle w:val="PlainText"/>
        <w:rPr>
          <w:b/>
          <w:u w:val="single"/>
        </w:rPr>
      </w:pPr>
      <w:r w:rsidRPr="00647452">
        <w:rPr>
          <w:b/>
          <w:u w:val="single"/>
        </w:rPr>
        <w:t xml:space="preserve">OPTN Policies Policy 9: Allocation of Livers and Liver-Intestines Effective Date: 6/13/2018 </w:t>
      </w:r>
    </w:p>
    <w:p w14:paraId="11EDE4D9" w14:textId="2C6C6138" w:rsidR="00331AD7" w:rsidRPr="00647452" w:rsidRDefault="00331AD7" w:rsidP="00D82ADA">
      <w:pPr>
        <w:rPr>
          <w:b/>
          <w:u w:val="single"/>
        </w:rPr>
      </w:pPr>
    </w:p>
    <w:p w14:paraId="0A6A1728" w14:textId="77777777" w:rsidR="008E22BE" w:rsidRDefault="008E22BE" w:rsidP="00D82ADA">
      <w:pPr>
        <w:rPr>
          <w:u w:val="single"/>
        </w:rPr>
      </w:pPr>
    </w:p>
    <w:p w14:paraId="030B7E30" w14:textId="77777777" w:rsidR="008E22BE" w:rsidRPr="008E22BE" w:rsidRDefault="008E22BE" w:rsidP="008E22BE">
      <w:pPr>
        <w:rPr>
          <w:rFonts w:ascii="Calibri" w:hAnsi="Calibri"/>
          <w:sz w:val="22"/>
          <w:szCs w:val="21"/>
          <w:u w:val="single"/>
        </w:rPr>
      </w:pPr>
      <w:r w:rsidRPr="008E22BE">
        <w:rPr>
          <w:rFonts w:ascii="Calibri" w:hAnsi="Calibri"/>
          <w:sz w:val="22"/>
          <w:szCs w:val="21"/>
          <w:u w:val="single"/>
        </w:rPr>
        <w:t>Medical Eligibility Criteria for Liver-Kidney Allocation If the candidate’s transplant nephrologist confirms a diagnosis of:</w:t>
      </w:r>
    </w:p>
    <w:p w14:paraId="6AF49E8C" w14:textId="77777777" w:rsidR="008E22BE" w:rsidRPr="008E22BE" w:rsidRDefault="008E22BE" w:rsidP="008E22BE">
      <w:pPr>
        <w:rPr>
          <w:rFonts w:ascii="Calibri" w:hAnsi="Calibri"/>
          <w:sz w:val="22"/>
          <w:szCs w:val="21"/>
          <w:u w:val="single"/>
        </w:rPr>
      </w:pPr>
    </w:p>
    <w:p w14:paraId="45735A05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  <w:u w:val="single"/>
        </w:rPr>
        <w:t>Chronic kidney disease (CKD)</w:t>
      </w:r>
      <w:r w:rsidRPr="008E22BE">
        <w:rPr>
          <w:rFonts w:ascii="Calibri" w:hAnsi="Calibri"/>
          <w:sz w:val="22"/>
          <w:szCs w:val="21"/>
        </w:rPr>
        <w:t xml:space="preserve"> with a measured or calculated glomerular filtration rate (GFR) less than or equal to 60 mL/min for greater than 90 consecutive days At least one of the following: (The transplant program must report to the OPTN Contractor and document in the candidate’s medical record)</w:t>
      </w:r>
    </w:p>
    <w:p w14:paraId="755157A4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 xml:space="preserve"> </w:t>
      </w:r>
      <w:r w:rsidRPr="008E22BE">
        <w:rPr>
          <w:rFonts w:ascii="Calibri" w:hAnsi="Calibri"/>
          <w:sz w:val="22"/>
          <w:szCs w:val="21"/>
        </w:rPr>
        <w:tab/>
        <w:t>That the candidate has begun regularly administered dialysis as an end-stage renal disease (ESRD) patient in a hospital based, independent non-hospital based, or home setting.</w:t>
      </w:r>
    </w:p>
    <w:p w14:paraId="4C9C2903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>At the time of registration on the kidney waiting list, that the candidate’s most recent measured or calculated creatinine clearance (CrCl) or GFR is less than or equal to 30 mL/min.</w:t>
      </w:r>
    </w:p>
    <w:p w14:paraId="1DDE2A70" w14:textId="77777777" w:rsid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 xml:space="preserve"> </w:t>
      </w:r>
      <w:r w:rsidRPr="008E22BE">
        <w:rPr>
          <w:rFonts w:ascii="Calibri" w:hAnsi="Calibri"/>
          <w:sz w:val="22"/>
          <w:szCs w:val="21"/>
        </w:rPr>
        <w:tab/>
        <w:t>On a date after registration on the kidney waiting list, that the candidate’s measured or calculated CrCl or GFR is less than or equal to 30 mL/min.</w:t>
      </w:r>
    </w:p>
    <w:p w14:paraId="5FE6FEC5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</w:p>
    <w:p w14:paraId="6F0ED610" w14:textId="77777777" w:rsidR="008E22BE" w:rsidRPr="008E22BE" w:rsidRDefault="008E22BE" w:rsidP="008E22BE">
      <w:pPr>
        <w:rPr>
          <w:rFonts w:ascii="Calibri" w:hAnsi="Calibri"/>
          <w:sz w:val="22"/>
          <w:szCs w:val="21"/>
          <w:u w:val="single"/>
        </w:rPr>
      </w:pPr>
      <w:r w:rsidRPr="008E22BE">
        <w:rPr>
          <w:rFonts w:ascii="Calibri" w:hAnsi="Calibri"/>
          <w:sz w:val="22"/>
          <w:szCs w:val="21"/>
          <w:u w:val="single"/>
        </w:rPr>
        <w:t>Sustained acute kidney injury</w:t>
      </w:r>
    </w:p>
    <w:p w14:paraId="273719AD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>At least one of the following, or a combination of both of the following, for the last 6 weeks:</w:t>
      </w:r>
    </w:p>
    <w:p w14:paraId="07E0D10D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>That the candidate has been on dialysis at least once every 7 days.</w:t>
      </w:r>
    </w:p>
    <w:p w14:paraId="56C092F9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 xml:space="preserve"> That the candidate has a measured or calculated CrCl or GFR less than or equal to 25 mL/min at least once every 7 days.</w:t>
      </w:r>
    </w:p>
    <w:p w14:paraId="34D33D97" w14:textId="77777777" w:rsid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>If the candidate’s eligibility is not confirmed at least once every seven days for the last 6 weeks, the candidate is not eligible to receive a liver and a kidney from the same donor.</w:t>
      </w:r>
    </w:p>
    <w:p w14:paraId="3BC8A9AD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</w:p>
    <w:p w14:paraId="26EE893F" w14:textId="77777777" w:rsidR="008E22BE" w:rsidRPr="008E22BE" w:rsidRDefault="008E22BE" w:rsidP="008E22BE">
      <w:pPr>
        <w:rPr>
          <w:rFonts w:ascii="Calibri" w:hAnsi="Calibri"/>
          <w:sz w:val="22"/>
          <w:szCs w:val="21"/>
          <w:u w:val="single"/>
        </w:rPr>
      </w:pPr>
      <w:r w:rsidRPr="008E22BE">
        <w:rPr>
          <w:rFonts w:ascii="Calibri" w:hAnsi="Calibri"/>
          <w:sz w:val="22"/>
          <w:szCs w:val="21"/>
          <w:u w:val="single"/>
        </w:rPr>
        <w:t>Metabolic disease</w:t>
      </w:r>
    </w:p>
    <w:p w14:paraId="281402FD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>A diagnosis of at least one of the following:</w:t>
      </w:r>
    </w:p>
    <w:p w14:paraId="22C37A3B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</w:r>
      <w:proofErr w:type="spellStart"/>
      <w:r w:rsidRPr="008E22BE">
        <w:rPr>
          <w:rFonts w:ascii="Calibri" w:hAnsi="Calibri"/>
          <w:sz w:val="22"/>
          <w:szCs w:val="21"/>
        </w:rPr>
        <w:t>Hyperoxaluria</w:t>
      </w:r>
      <w:proofErr w:type="spellEnd"/>
    </w:p>
    <w:p w14:paraId="4034E680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 xml:space="preserve"> Atypical hemolytic uremic syndrome (HUS) from mutations in factor H or factor I</w:t>
      </w:r>
    </w:p>
    <w:p w14:paraId="487B97C3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  <w:t>Familial non-neuropathic systemic amyloidosis</w:t>
      </w:r>
    </w:p>
    <w:p w14:paraId="4879F6D2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  <w:r w:rsidRPr="008E22BE">
        <w:rPr>
          <w:rFonts w:ascii="Calibri" w:hAnsi="Calibri"/>
          <w:sz w:val="22"/>
          <w:szCs w:val="21"/>
        </w:rPr>
        <w:tab/>
      </w:r>
      <w:proofErr w:type="spellStart"/>
      <w:r w:rsidRPr="008E22BE">
        <w:rPr>
          <w:rFonts w:ascii="Calibri" w:hAnsi="Calibri"/>
          <w:sz w:val="22"/>
          <w:szCs w:val="21"/>
        </w:rPr>
        <w:t>Methylmalonic</w:t>
      </w:r>
      <w:proofErr w:type="spellEnd"/>
      <w:r w:rsidRPr="008E22BE">
        <w:rPr>
          <w:rFonts w:ascii="Calibri" w:hAnsi="Calibri"/>
          <w:sz w:val="22"/>
          <w:szCs w:val="21"/>
        </w:rPr>
        <w:t xml:space="preserve"> aciduria</w:t>
      </w:r>
    </w:p>
    <w:p w14:paraId="09FEAE1C" w14:textId="77777777" w:rsidR="008E22BE" w:rsidRPr="008E22BE" w:rsidRDefault="008E22BE" w:rsidP="008E22BE">
      <w:pPr>
        <w:rPr>
          <w:rFonts w:ascii="Calibri" w:hAnsi="Calibri"/>
          <w:sz w:val="22"/>
          <w:szCs w:val="21"/>
        </w:rPr>
      </w:pPr>
    </w:p>
    <w:p w14:paraId="6E710C61" w14:textId="77777777" w:rsidR="00331AD7" w:rsidRDefault="00331AD7" w:rsidP="00D82ADA">
      <w:pPr>
        <w:rPr>
          <w:u w:val="single"/>
        </w:rPr>
      </w:pPr>
    </w:p>
    <w:p w14:paraId="5283B8D6" w14:textId="6E2BBCF7" w:rsidR="00E45CD3" w:rsidRPr="004D2BFB" w:rsidRDefault="00603B91" w:rsidP="00D82ADA">
      <w:pPr>
        <w:rPr>
          <w:u w:val="single"/>
        </w:rPr>
      </w:pPr>
      <w:r w:rsidRPr="004D2BFB">
        <w:rPr>
          <w:u w:val="single"/>
        </w:rPr>
        <w:t xml:space="preserve">Kidney </w:t>
      </w:r>
      <w:r w:rsidR="00F46D73" w:rsidRPr="004D2BFB">
        <w:rPr>
          <w:u w:val="single"/>
        </w:rPr>
        <w:t>Transplant Referral -</w:t>
      </w:r>
    </w:p>
    <w:p w14:paraId="5503AD21" w14:textId="77777777" w:rsidR="00404EAD" w:rsidRDefault="00404EAD" w:rsidP="00404EAD">
      <w:pPr>
        <w:pStyle w:val="PlainText"/>
      </w:pPr>
      <w:r w:rsidRPr="00404EAD">
        <w:t>Prioritization for Liver Recipients on the Kidney Waiting List If a kidney candidate received a liver transplant, but not a liver and kidney transplant from the same deceased donor, the candidate will be classified as a prior liver recipient. This classification gives priority to a kidney candidate if both of the following criteria are met:</w:t>
      </w:r>
    </w:p>
    <w:p w14:paraId="71676E8E" w14:textId="4F367D76" w:rsidR="00404EAD" w:rsidRDefault="00404EAD" w:rsidP="00404EAD">
      <w:pPr>
        <w:pStyle w:val="PlainText"/>
      </w:pPr>
      <w:r>
        <w:t>1.</w:t>
      </w:r>
      <w:r w:rsidRPr="00404EAD">
        <w:t xml:space="preserve">The candidate is registered on the kidney waiting list prior to the one-year anniversary of the candidate’s most recent liver transplant date </w:t>
      </w:r>
    </w:p>
    <w:p w14:paraId="1A6F82CF" w14:textId="28092B35" w:rsidR="00404EAD" w:rsidRPr="00404EAD" w:rsidRDefault="00404EAD" w:rsidP="00404EAD">
      <w:pPr>
        <w:pStyle w:val="PlainText"/>
      </w:pPr>
      <w:r w:rsidRPr="00404EAD">
        <w:t>2. On a date that is at least 60 days but not more than 365 days after the candidate’s liver transplant date, at least one of the following criteria is met:</w:t>
      </w:r>
    </w:p>
    <w:p w14:paraId="42FA112C" w14:textId="2D77CA4F" w:rsidR="00404EAD" w:rsidRPr="00404EAD" w:rsidRDefault="00404EAD" w:rsidP="00404EAD">
      <w:pPr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>-</w:t>
      </w:r>
      <w:r w:rsidRPr="00404EAD">
        <w:rPr>
          <w:rFonts w:ascii="Calibri" w:hAnsi="Calibri"/>
          <w:sz w:val="22"/>
          <w:szCs w:val="21"/>
        </w:rPr>
        <w:t>The candidate has a measured or calculated creatinine clearance (CrCl) or glomerular filtration rate (GFR) less than or equal to 20 mL/min.</w:t>
      </w:r>
    </w:p>
    <w:p w14:paraId="0E7193E3" w14:textId="0076B617" w:rsidR="00404EAD" w:rsidRPr="00404EAD" w:rsidRDefault="00404EAD" w:rsidP="00404EAD">
      <w:pPr>
        <w:rPr>
          <w:rFonts w:ascii="Calibri" w:hAnsi="Calibri"/>
          <w:sz w:val="22"/>
          <w:szCs w:val="21"/>
        </w:rPr>
      </w:pPr>
      <w:r>
        <w:rPr>
          <w:rFonts w:ascii="Calibri" w:hAnsi="Calibri"/>
          <w:sz w:val="22"/>
          <w:szCs w:val="21"/>
        </w:rPr>
        <w:t>-</w:t>
      </w:r>
      <w:r w:rsidRPr="00404EAD">
        <w:rPr>
          <w:rFonts w:ascii="Calibri" w:hAnsi="Calibri"/>
          <w:sz w:val="22"/>
          <w:szCs w:val="21"/>
        </w:rPr>
        <w:t>The candidate is on dialysis.</w:t>
      </w:r>
    </w:p>
    <w:p w14:paraId="2256C9BA" w14:textId="7685B231" w:rsidR="00E45CD3" w:rsidRDefault="00E45CD3" w:rsidP="00D82ADA"/>
    <w:p w14:paraId="5B4E4464" w14:textId="77777777" w:rsidR="00E45CD3" w:rsidRDefault="00E45CD3" w:rsidP="00D82ADA"/>
    <w:p w14:paraId="64A28B4A" w14:textId="77777777" w:rsidR="00E45CD3" w:rsidRPr="004A6155" w:rsidRDefault="00E45CD3" w:rsidP="00D82ADA"/>
    <w:p w14:paraId="366F1AF9" w14:textId="77777777" w:rsidR="001E59F9" w:rsidRDefault="001E59F9" w:rsidP="00D82ADA">
      <w:pPr>
        <w:rPr>
          <w:b/>
          <w:u w:val="single"/>
        </w:rPr>
      </w:pPr>
    </w:p>
    <w:p w14:paraId="2941917D" w14:textId="77777777" w:rsidR="00D31825" w:rsidRPr="00EC71ED" w:rsidRDefault="0018574A" w:rsidP="00D82ADA">
      <w:r w:rsidRPr="00EC71ED">
        <w:rPr>
          <w:b/>
          <w:u w:val="single"/>
        </w:rPr>
        <w:t>RELATED DOCUMENT</w:t>
      </w:r>
      <w:r w:rsidR="00382155" w:rsidRPr="00EC71ED">
        <w:rPr>
          <w:b/>
          <w:u w:val="single"/>
        </w:rPr>
        <w:t>(</w:t>
      </w:r>
      <w:r w:rsidRPr="00EC71ED">
        <w:rPr>
          <w:b/>
          <w:u w:val="single"/>
        </w:rPr>
        <w:t>S</w:t>
      </w:r>
      <w:r w:rsidR="00382155" w:rsidRPr="00EC71ED">
        <w:rPr>
          <w:b/>
          <w:u w:val="single"/>
        </w:rPr>
        <w:t>)/</w:t>
      </w:r>
      <w:r w:rsidR="00C05CA7" w:rsidRPr="00EC71ED">
        <w:rPr>
          <w:b/>
          <w:u w:val="single"/>
        </w:rPr>
        <w:t>LINK(S):</w:t>
      </w:r>
    </w:p>
    <w:p w14:paraId="5377397B" w14:textId="77777777" w:rsidR="0019168D" w:rsidRPr="00EC71ED" w:rsidRDefault="0019168D" w:rsidP="00D82ADA"/>
    <w:p w14:paraId="31F26BEB" w14:textId="77777777" w:rsidR="00A973EE" w:rsidRPr="00EC71ED" w:rsidRDefault="00A973EE" w:rsidP="00D82ADA"/>
    <w:p w14:paraId="3C22DF21" w14:textId="77777777" w:rsidR="00A973EE" w:rsidRPr="00EC71ED" w:rsidRDefault="00A973EE" w:rsidP="00D82ADA"/>
    <w:p w14:paraId="20D6B6C7" w14:textId="77777777" w:rsidR="00A973EE" w:rsidRPr="00EC71ED" w:rsidRDefault="00A973EE" w:rsidP="00D82ADA">
      <w:r w:rsidRPr="00EC71ED">
        <w:rPr>
          <w:b/>
          <w:u w:val="single"/>
        </w:rPr>
        <w:t>REFERENCES AND SOURCES OF EVIDENCE</w:t>
      </w:r>
      <w:r w:rsidR="0019168D" w:rsidRPr="00EC71ED">
        <w:rPr>
          <w:b/>
          <w:u w:val="single"/>
        </w:rPr>
        <w:t>:</w:t>
      </w:r>
    </w:p>
    <w:p w14:paraId="7D6B7322" w14:textId="77777777" w:rsidR="009F477D" w:rsidRPr="00242D94" w:rsidRDefault="005606ED" w:rsidP="009F477D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242D94">
        <w:rPr>
          <w:bCs/>
          <w:color w:val="000000" w:themeColor="text1"/>
        </w:rPr>
        <w:t xml:space="preserve">Long-term Analysis of Combined Liver and Kidney Transplantation at a Single Center </w:t>
      </w:r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Richard Ruiz, MD; Hiroko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Kunitake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MD; Alan H. Wilkinson, MD; Gabriel M.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Danovitch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MD; Douglas G. Farmer, MD;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Rafik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M.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Ghobrial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MD, PhD; Hasan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Yersiz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MD; Jonathan R. Hiatt, MD; Ronald W. </w:t>
      </w:r>
      <w:proofErr w:type="spellStart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Busuttil</w:t>
      </w:r>
      <w:proofErr w:type="spellEnd"/>
      <w:r w:rsidRPr="00242D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MD, PhD </w:t>
      </w:r>
    </w:p>
    <w:p w14:paraId="190977DD" w14:textId="77777777" w:rsidR="00242D94" w:rsidRPr="00242D94" w:rsidRDefault="009F477D" w:rsidP="00242D9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242D94">
        <w:rPr>
          <w:color w:val="000000" w:themeColor="text1"/>
        </w:rPr>
        <w:t xml:space="preserve">Patterns of Kidney Function Before and After </w:t>
      </w:r>
      <w:proofErr w:type="spellStart"/>
      <w:r w:rsidRPr="00242D94">
        <w:rPr>
          <w:color w:val="000000" w:themeColor="text1"/>
        </w:rPr>
        <w:t>Orthotopic</w:t>
      </w:r>
      <w:proofErr w:type="spellEnd"/>
      <w:r w:rsidRPr="00242D94">
        <w:rPr>
          <w:color w:val="000000" w:themeColor="text1"/>
        </w:rPr>
        <w:t xml:space="preserve"> Liver Transplant: Associations With Length of Hospital Stay, Progression to End-Stage Renal Disease, and </w:t>
      </w:r>
      <w:proofErr w:type="spellStart"/>
      <w:r w:rsidRPr="00242D94">
        <w:rPr>
          <w:color w:val="000000" w:themeColor="text1"/>
        </w:rPr>
        <w:t>Mortality.</w:t>
      </w:r>
      <w:hyperlink r:id="rId8" w:history="1">
        <w:r w:rsidRPr="00242D94">
          <w:rPr>
            <w:rStyle w:val="Hyperlink"/>
            <w:color w:val="000000" w:themeColor="text1"/>
          </w:rPr>
          <w:t>Longenecker</w:t>
        </w:r>
        <w:proofErr w:type="spellEnd"/>
        <w:r w:rsidRPr="00242D94">
          <w:rPr>
            <w:rStyle w:val="Hyperlink"/>
            <w:color w:val="000000" w:themeColor="text1"/>
          </w:rPr>
          <w:t xml:space="preserve"> JC</w:t>
        </w:r>
      </w:hyperlink>
      <w:r w:rsidRPr="00242D94">
        <w:rPr>
          <w:color w:val="000000" w:themeColor="text1"/>
          <w:vertAlign w:val="superscript"/>
        </w:rPr>
        <w:t>1</w:t>
      </w:r>
      <w:r w:rsidRPr="00242D94">
        <w:rPr>
          <w:color w:val="000000" w:themeColor="text1"/>
        </w:rPr>
        <w:t xml:space="preserve">, </w:t>
      </w:r>
      <w:hyperlink r:id="rId9" w:history="1">
        <w:r w:rsidRPr="00242D94">
          <w:rPr>
            <w:rStyle w:val="Hyperlink"/>
            <w:color w:val="000000" w:themeColor="text1"/>
          </w:rPr>
          <w:t>Estrella MM</w:t>
        </w:r>
      </w:hyperlink>
      <w:r w:rsidRPr="00242D94">
        <w:rPr>
          <w:color w:val="000000" w:themeColor="text1"/>
        </w:rPr>
        <w:t xml:space="preserve">, </w:t>
      </w:r>
      <w:hyperlink r:id="rId10" w:history="1">
        <w:proofErr w:type="spellStart"/>
        <w:r w:rsidRPr="00242D94">
          <w:rPr>
            <w:rStyle w:val="Hyperlink"/>
            <w:color w:val="000000" w:themeColor="text1"/>
          </w:rPr>
          <w:t>Segev</w:t>
        </w:r>
        <w:proofErr w:type="spellEnd"/>
        <w:r w:rsidRPr="00242D94">
          <w:rPr>
            <w:rStyle w:val="Hyperlink"/>
            <w:color w:val="000000" w:themeColor="text1"/>
          </w:rPr>
          <w:t xml:space="preserve"> DL</w:t>
        </w:r>
      </w:hyperlink>
      <w:r w:rsidRPr="00242D94">
        <w:rPr>
          <w:color w:val="000000" w:themeColor="text1"/>
        </w:rPr>
        <w:t xml:space="preserve">, </w:t>
      </w:r>
      <w:hyperlink r:id="rId11" w:history="1">
        <w:r w:rsidRPr="00242D94">
          <w:rPr>
            <w:rStyle w:val="Hyperlink"/>
            <w:color w:val="000000" w:themeColor="text1"/>
          </w:rPr>
          <w:t>Atta MG</w:t>
        </w:r>
      </w:hyperlink>
      <w:r w:rsidRPr="00242D94">
        <w:rPr>
          <w:color w:val="000000" w:themeColor="text1"/>
        </w:rPr>
        <w:t>.</w:t>
      </w:r>
    </w:p>
    <w:p w14:paraId="206F696A" w14:textId="24C41474" w:rsidR="005606ED" w:rsidRPr="00242D94" w:rsidRDefault="00242D94" w:rsidP="00242D9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color w:val="000000" w:themeColor="text1"/>
        </w:rPr>
      </w:pPr>
      <w:r w:rsidRPr="00242D94">
        <w:rPr>
          <w:color w:val="000000" w:themeColor="text1"/>
        </w:rPr>
        <w:t xml:space="preserve">Chronic Kidney Disease and Related Long-Term Complications After Liver </w:t>
      </w:r>
      <w:proofErr w:type="spellStart"/>
      <w:r w:rsidRPr="00242D94">
        <w:rPr>
          <w:color w:val="000000" w:themeColor="text1"/>
        </w:rPr>
        <w:t>Transplantation.</w:t>
      </w:r>
      <w:hyperlink r:id="rId12" w:history="1">
        <w:r w:rsidRPr="00242D94">
          <w:rPr>
            <w:rStyle w:val="Hyperlink"/>
            <w:color w:val="000000" w:themeColor="text1"/>
          </w:rPr>
          <w:t>Sharma</w:t>
        </w:r>
        <w:proofErr w:type="spellEnd"/>
        <w:r w:rsidRPr="00242D94">
          <w:rPr>
            <w:rStyle w:val="Hyperlink"/>
            <w:color w:val="000000" w:themeColor="text1"/>
          </w:rPr>
          <w:t xml:space="preserve"> P</w:t>
        </w:r>
      </w:hyperlink>
      <w:r w:rsidRPr="00242D94">
        <w:rPr>
          <w:color w:val="000000" w:themeColor="text1"/>
          <w:vertAlign w:val="superscript"/>
        </w:rPr>
        <w:t>1</w:t>
      </w:r>
      <w:r w:rsidRPr="00242D94">
        <w:rPr>
          <w:color w:val="000000" w:themeColor="text1"/>
        </w:rPr>
        <w:t xml:space="preserve">, </w:t>
      </w:r>
      <w:hyperlink r:id="rId13" w:history="1">
        <w:r w:rsidRPr="00242D94">
          <w:rPr>
            <w:rStyle w:val="Hyperlink"/>
            <w:color w:val="000000" w:themeColor="text1"/>
          </w:rPr>
          <w:t>Bari K</w:t>
        </w:r>
      </w:hyperlink>
      <w:r w:rsidRPr="00242D94">
        <w:rPr>
          <w:color w:val="000000" w:themeColor="text1"/>
          <w:vertAlign w:val="superscript"/>
        </w:rPr>
        <w:t>2</w:t>
      </w:r>
      <w:r w:rsidRPr="00242D94">
        <w:rPr>
          <w:color w:val="000000" w:themeColor="text1"/>
        </w:rPr>
        <w:t>.</w:t>
      </w:r>
    </w:p>
    <w:p w14:paraId="682EB633" w14:textId="77777777" w:rsidR="0019168D" w:rsidRPr="00EC71ED" w:rsidRDefault="0019168D" w:rsidP="00D82ADA"/>
    <w:p w14:paraId="14BABC7C" w14:textId="77777777" w:rsidR="0016323D" w:rsidRPr="00EC71ED" w:rsidRDefault="0016323D" w:rsidP="00D82ADA"/>
    <w:p w14:paraId="5ADD92B9" w14:textId="77777777" w:rsidR="00A973EE" w:rsidRPr="00EC71ED" w:rsidRDefault="005E39CF" w:rsidP="00D82ADA">
      <w:pPr>
        <w:rPr>
          <w:b/>
          <w:u w:val="single"/>
        </w:rPr>
      </w:pPr>
      <w:r w:rsidRPr="00EC71ED">
        <w:rPr>
          <w:b/>
          <w:u w:val="single"/>
        </w:rPr>
        <w:t>KEY WORDS:</w:t>
      </w:r>
    </w:p>
    <w:p w14:paraId="0152AD76" w14:textId="77777777" w:rsidR="005E39CF" w:rsidRPr="00EC71ED" w:rsidRDefault="005E39CF" w:rsidP="00D82ADA">
      <w:pPr>
        <w:rPr>
          <w:b/>
          <w:u w:val="single"/>
        </w:rPr>
      </w:pPr>
    </w:p>
    <w:p w14:paraId="1BD44D5B" w14:textId="77777777" w:rsidR="00DB6E7A" w:rsidRPr="00EC71ED" w:rsidRDefault="00DB6E7A" w:rsidP="00D82AD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EC71ED" w14:paraId="66C66384" w14:textId="77777777" w:rsidTr="00BE1C28">
        <w:tc>
          <w:tcPr>
            <w:tcW w:w="10770" w:type="dxa"/>
            <w:gridSpan w:val="2"/>
            <w:tcBorders>
              <w:bottom w:val="nil"/>
            </w:tcBorders>
          </w:tcPr>
          <w:p w14:paraId="3AA854B4" w14:textId="77777777" w:rsidR="00BE1C28" w:rsidRPr="00EC71ED" w:rsidRDefault="00233309" w:rsidP="0079159D">
            <w:pPr>
              <w:spacing w:before="60" w:after="20"/>
              <w:rPr>
                <w:u w:val="single"/>
              </w:rPr>
            </w:pPr>
            <w:r w:rsidRPr="00EC71ED">
              <w:rPr>
                <w:b/>
                <w:u w:val="single"/>
              </w:rPr>
              <w:t>REVIEW/</w:t>
            </w:r>
            <w:r w:rsidR="00BE1C28" w:rsidRPr="00EC71ED">
              <w:rPr>
                <w:b/>
                <w:u w:val="single"/>
              </w:rPr>
              <w:t>APPROVAL SUMMARY:</w:t>
            </w:r>
            <w:r w:rsidR="00BE1C28" w:rsidRPr="00EC71ED">
              <w:rPr>
                <w:u w:val="single"/>
              </w:rPr>
              <w:t xml:space="preserve"> </w:t>
            </w:r>
          </w:p>
        </w:tc>
      </w:tr>
      <w:tr w:rsidR="00576F37" w:rsidRPr="00EC71ED" w14:paraId="57166F44" w14:textId="77777777" w:rsidTr="00150BDD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63E4AEE5" w14:textId="77777777" w:rsidR="00576F37" w:rsidRPr="00EC71ED" w:rsidRDefault="00576F37" w:rsidP="00D877F7">
            <w:pPr>
              <w:spacing w:before="60"/>
            </w:pPr>
            <w:r w:rsidRPr="00EC71ED">
              <w:rPr>
                <w:b/>
              </w:rPr>
              <w:t>APPROVAL BODY/BODIES:</w:t>
            </w:r>
            <w:r w:rsidRPr="00EC71ED">
              <w:t xml:space="preserve"> </w:t>
            </w:r>
          </w:p>
        </w:tc>
      </w:tr>
      <w:tr w:rsidR="00BE1C28" w:rsidRPr="00EC71ED" w14:paraId="51A6E748" w14:textId="77777777" w:rsidTr="00DB6E7A">
        <w:tc>
          <w:tcPr>
            <w:tcW w:w="5925" w:type="dxa"/>
          </w:tcPr>
          <w:p w14:paraId="12B76902" w14:textId="77777777" w:rsidR="00BE1C28" w:rsidRPr="00EC71ED" w:rsidRDefault="00233309" w:rsidP="00233309">
            <w:pPr>
              <w:spacing w:before="60" w:after="20"/>
            </w:pPr>
            <w:r w:rsidRPr="00EC71ED">
              <w:rPr>
                <w:b/>
              </w:rPr>
              <w:t>REVIEW/</w:t>
            </w:r>
            <w:r w:rsidR="00BE1C28" w:rsidRPr="00EC71ED">
              <w:rPr>
                <w:b/>
              </w:rPr>
              <w:t>REVISION DATES:</w:t>
            </w:r>
            <w:r w:rsidR="00BE1C28" w:rsidRPr="00EC71ED">
              <w:t xml:space="preserve"> </w:t>
            </w:r>
          </w:p>
        </w:tc>
        <w:tc>
          <w:tcPr>
            <w:tcW w:w="4845" w:type="dxa"/>
          </w:tcPr>
          <w:p w14:paraId="21443B62" w14:textId="77777777" w:rsidR="00BE1C28" w:rsidRPr="00EC71ED" w:rsidRDefault="00BE1C28" w:rsidP="00D877F7">
            <w:pPr>
              <w:spacing w:before="60" w:after="20"/>
            </w:pPr>
            <w:r w:rsidRPr="00EC71ED">
              <w:rPr>
                <w:b/>
              </w:rPr>
              <w:t>APPROVAL DATE:</w:t>
            </w:r>
            <w:r w:rsidRPr="00EC71ED">
              <w:t xml:space="preserve"> </w:t>
            </w:r>
          </w:p>
        </w:tc>
      </w:tr>
    </w:tbl>
    <w:p w14:paraId="0B039658" w14:textId="77777777" w:rsidR="00246CC9" w:rsidRPr="00EC71ED" w:rsidRDefault="00246CC9" w:rsidP="00D82ADA"/>
    <w:sectPr w:rsidR="00246CC9" w:rsidRPr="00EC71ED" w:rsidSect="006647F4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83CC" w14:textId="77777777" w:rsidR="00111F32" w:rsidRDefault="00111F32" w:rsidP="00401E3E">
      <w:r>
        <w:separator/>
      </w:r>
    </w:p>
  </w:endnote>
  <w:endnote w:type="continuationSeparator" w:id="0">
    <w:p w14:paraId="2DB7DAF0" w14:textId="77777777" w:rsidR="00111F32" w:rsidRDefault="00111F32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3F83" w14:textId="77777777" w:rsidR="002E0B0E" w:rsidRPr="00246CC9" w:rsidRDefault="002E0B0E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ROCEDURE/GUIDELINE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00246CC9">
      <w:rPr>
        <w:rFonts w:ascii="Arial" w:hAnsi="Arial" w:cs="Arial"/>
        <w:sz w:val="16"/>
      </w:rPr>
      <w:fldChar w:fldCharType="separate"/>
    </w:r>
    <w:r w:rsidR="006E3C33">
      <w:rPr>
        <w:rFonts w:ascii="Arial" w:hAnsi="Arial" w:cs="Arial"/>
        <w:noProof/>
        <w:sz w:val="16"/>
      </w:rPr>
      <w:t>1</w:t>
    </w:r>
    <w:r w:rsidRPr="00246CC9">
      <w:rPr>
        <w:rFonts w:ascii="Arial" w:hAnsi="Arial" w:cs="Arial"/>
        <w:sz w:val="16"/>
      </w:rPr>
      <w:fldChar w:fldCharType="end"/>
    </w:r>
    <w:r w:rsidRPr="00246CC9">
      <w:rPr>
        <w:rFonts w:ascii="Arial" w:hAnsi="Arial" w:cs="Arial"/>
        <w:sz w:val="16"/>
      </w:rPr>
      <w:t xml:space="preserve"> of </w:t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00246CC9">
      <w:rPr>
        <w:rFonts w:ascii="Arial" w:hAnsi="Arial" w:cs="Arial"/>
        <w:sz w:val="16"/>
      </w:rPr>
      <w:fldChar w:fldCharType="separate"/>
    </w:r>
    <w:r w:rsidR="006E3C33">
      <w:rPr>
        <w:rFonts w:ascii="Arial" w:hAnsi="Arial" w:cs="Arial"/>
        <w:noProof/>
        <w:sz w:val="16"/>
      </w:rPr>
      <w:t>10</w:t>
    </w:r>
    <w:r w:rsidRPr="00246CC9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 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0780F" w14:textId="77777777" w:rsidR="00111F32" w:rsidRDefault="00111F32" w:rsidP="00401E3E">
      <w:r>
        <w:separator/>
      </w:r>
    </w:p>
  </w:footnote>
  <w:footnote w:type="continuationSeparator" w:id="0">
    <w:p w14:paraId="1FB6E20B" w14:textId="77777777" w:rsidR="00111F32" w:rsidRDefault="00111F32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C820" w14:textId="517F6C42" w:rsidR="002E0B0E" w:rsidRPr="00120DE3" w:rsidRDefault="002E0B0E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4037ABC0" wp14:editId="32C4CC4D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556990" w14:textId="77777777" w:rsidR="002E0B0E" w:rsidRPr="00120DE3" w:rsidRDefault="002E0B0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E5D"/>
    <w:multiLevelType w:val="hybridMultilevel"/>
    <w:tmpl w:val="A036AD12"/>
    <w:lvl w:ilvl="0" w:tplc="843A3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2B50"/>
    <w:multiLevelType w:val="hybridMultilevel"/>
    <w:tmpl w:val="361C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C50"/>
    <w:multiLevelType w:val="hybridMultilevel"/>
    <w:tmpl w:val="623AE65E"/>
    <w:lvl w:ilvl="0" w:tplc="4BA42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36183"/>
    <w:multiLevelType w:val="hybridMultilevel"/>
    <w:tmpl w:val="4D02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3005"/>
    <w:multiLevelType w:val="hybridMultilevel"/>
    <w:tmpl w:val="B8A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6B49"/>
    <w:multiLevelType w:val="hybridMultilevel"/>
    <w:tmpl w:val="391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4EAF"/>
    <w:multiLevelType w:val="hybridMultilevel"/>
    <w:tmpl w:val="93AA6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B392C"/>
    <w:multiLevelType w:val="hybridMultilevel"/>
    <w:tmpl w:val="040ED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65299"/>
    <w:multiLevelType w:val="hybridMultilevel"/>
    <w:tmpl w:val="A3F20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95FA1"/>
    <w:multiLevelType w:val="hybridMultilevel"/>
    <w:tmpl w:val="65EEC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50FC6"/>
    <w:multiLevelType w:val="hybridMultilevel"/>
    <w:tmpl w:val="4D02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4394"/>
    <w:multiLevelType w:val="hybridMultilevel"/>
    <w:tmpl w:val="AAA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832AF"/>
    <w:multiLevelType w:val="hybridMultilevel"/>
    <w:tmpl w:val="2B8AA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581088"/>
    <w:multiLevelType w:val="hybridMultilevel"/>
    <w:tmpl w:val="C004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00363"/>
    <w:multiLevelType w:val="hybridMultilevel"/>
    <w:tmpl w:val="D6FAA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790CBB"/>
    <w:multiLevelType w:val="hybridMultilevel"/>
    <w:tmpl w:val="746CB968"/>
    <w:lvl w:ilvl="0" w:tplc="C2502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3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C12F2"/>
    <w:multiLevelType w:val="hybridMultilevel"/>
    <w:tmpl w:val="FEFA7DE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6AC13146"/>
    <w:multiLevelType w:val="hybridMultilevel"/>
    <w:tmpl w:val="14EAB5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76C8"/>
    <w:multiLevelType w:val="hybridMultilevel"/>
    <w:tmpl w:val="623AE65E"/>
    <w:lvl w:ilvl="0" w:tplc="4BA42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104"/>
    <w:multiLevelType w:val="hybridMultilevel"/>
    <w:tmpl w:val="E9D4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D0EF3"/>
    <w:multiLevelType w:val="hybridMultilevel"/>
    <w:tmpl w:val="84EE3F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649D2"/>
    <w:multiLevelType w:val="hybridMultilevel"/>
    <w:tmpl w:val="7B4C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18"/>
  </w:num>
  <w:num w:numId="10">
    <w:abstractNumId w:val="21"/>
  </w:num>
  <w:num w:numId="11">
    <w:abstractNumId w:val="13"/>
  </w:num>
  <w:num w:numId="12">
    <w:abstractNumId w:val="8"/>
  </w:num>
  <w:num w:numId="13">
    <w:abstractNumId w:val="17"/>
  </w:num>
  <w:num w:numId="14">
    <w:abstractNumId w:val="20"/>
  </w:num>
  <w:num w:numId="15">
    <w:abstractNumId w:val="3"/>
  </w:num>
  <w:num w:numId="16">
    <w:abstractNumId w:val="0"/>
  </w:num>
  <w:num w:numId="17">
    <w:abstractNumId w:val="5"/>
  </w:num>
  <w:num w:numId="18">
    <w:abstractNumId w:val="1"/>
  </w:num>
  <w:num w:numId="19">
    <w:abstractNumId w:val="11"/>
  </w:num>
  <w:num w:numId="20">
    <w:abstractNumId w:val="4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307EE"/>
    <w:rsid w:val="00062D1A"/>
    <w:rsid w:val="0007395E"/>
    <w:rsid w:val="000A776C"/>
    <w:rsid w:val="000C3E8B"/>
    <w:rsid w:val="000E11BF"/>
    <w:rsid w:val="00111F32"/>
    <w:rsid w:val="00120DE3"/>
    <w:rsid w:val="00132810"/>
    <w:rsid w:val="0013307C"/>
    <w:rsid w:val="00150BDD"/>
    <w:rsid w:val="0015735D"/>
    <w:rsid w:val="001575F5"/>
    <w:rsid w:val="0016323D"/>
    <w:rsid w:val="00163E7A"/>
    <w:rsid w:val="001644D7"/>
    <w:rsid w:val="001654E2"/>
    <w:rsid w:val="0018574A"/>
    <w:rsid w:val="0019168D"/>
    <w:rsid w:val="001921CD"/>
    <w:rsid w:val="00194684"/>
    <w:rsid w:val="001A5CCC"/>
    <w:rsid w:val="001E3490"/>
    <w:rsid w:val="001E59F9"/>
    <w:rsid w:val="001E62D8"/>
    <w:rsid w:val="001F67AA"/>
    <w:rsid w:val="00203A92"/>
    <w:rsid w:val="002208A1"/>
    <w:rsid w:val="00233309"/>
    <w:rsid w:val="00242D94"/>
    <w:rsid w:val="0024405B"/>
    <w:rsid w:val="00246CC9"/>
    <w:rsid w:val="00254BBE"/>
    <w:rsid w:val="002911DD"/>
    <w:rsid w:val="002D4626"/>
    <w:rsid w:val="002E0B0E"/>
    <w:rsid w:val="002E0D29"/>
    <w:rsid w:val="00310AFB"/>
    <w:rsid w:val="00330874"/>
    <w:rsid w:val="00331AD7"/>
    <w:rsid w:val="00354A38"/>
    <w:rsid w:val="00382155"/>
    <w:rsid w:val="003A4628"/>
    <w:rsid w:val="003E080C"/>
    <w:rsid w:val="00401E3E"/>
    <w:rsid w:val="00404EAD"/>
    <w:rsid w:val="0043150A"/>
    <w:rsid w:val="00431B3C"/>
    <w:rsid w:val="00447E6F"/>
    <w:rsid w:val="0046101E"/>
    <w:rsid w:val="004A6155"/>
    <w:rsid w:val="004B276A"/>
    <w:rsid w:val="004D035C"/>
    <w:rsid w:val="004D2BFB"/>
    <w:rsid w:val="00530F75"/>
    <w:rsid w:val="005346FC"/>
    <w:rsid w:val="005606ED"/>
    <w:rsid w:val="00574E41"/>
    <w:rsid w:val="00576F37"/>
    <w:rsid w:val="005819A1"/>
    <w:rsid w:val="005855ED"/>
    <w:rsid w:val="005929AC"/>
    <w:rsid w:val="005E39CF"/>
    <w:rsid w:val="005E6157"/>
    <w:rsid w:val="005F1550"/>
    <w:rsid w:val="006015CE"/>
    <w:rsid w:val="00602179"/>
    <w:rsid w:val="00603B91"/>
    <w:rsid w:val="00611775"/>
    <w:rsid w:val="00627FB3"/>
    <w:rsid w:val="00637554"/>
    <w:rsid w:val="00647452"/>
    <w:rsid w:val="006647F4"/>
    <w:rsid w:val="006852C7"/>
    <w:rsid w:val="006B3726"/>
    <w:rsid w:val="006C6ABD"/>
    <w:rsid w:val="006D159E"/>
    <w:rsid w:val="006E3C33"/>
    <w:rsid w:val="00702667"/>
    <w:rsid w:val="00707D72"/>
    <w:rsid w:val="0072456C"/>
    <w:rsid w:val="00730FE4"/>
    <w:rsid w:val="00734CC6"/>
    <w:rsid w:val="00740467"/>
    <w:rsid w:val="00762208"/>
    <w:rsid w:val="0077276A"/>
    <w:rsid w:val="0079159D"/>
    <w:rsid w:val="007C72B5"/>
    <w:rsid w:val="007D72CF"/>
    <w:rsid w:val="007F5F92"/>
    <w:rsid w:val="007F6D17"/>
    <w:rsid w:val="00803A49"/>
    <w:rsid w:val="00823226"/>
    <w:rsid w:val="008241EB"/>
    <w:rsid w:val="00826F7A"/>
    <w:rsid w:val="00884555"/>
    <w:rsid w:val="008B1A18"/>
    <w:rsid w:val="008D7EFD"/>
    <w:rsid w:val="008E22BE"/>
    <w:rsid w:val="008E39B8"/>
    <w:rsid w:val="00947A0D"/>
    <w:rsid w:val="00965501"/>
    <w:rsid w:val="00980BEA"/>
    <w:rsid w:val="009A717A"/>
    <w:rsid w:val="009B0A2A"/>
    <w:rsid w:val="009F477D"/>
    <w:rsid w:val="009F502A"/>
    <w:rsid w:val="009F5419"/>
    <w:rsid w:val="009F7686"/>
    <w:rsid w:val="00A03BB9"/>
    <w:rsid w:val="00A072EC"/>
    <w:rsid w:val="00A30803"/>
    <w:rsid w:val="00A74128"/>
    <w:rsid w:val="00A929D5"/>
    <w:rsid w:val="00A96893"/>
    <w:rsid w:val="00A973EE"/>
    <w:rsid w:val="00AB30C2"/>
    <w:rsid w:val="00B0204B"/>
    <w:rsid w:val="00B117BE"/>
    <w:rsid w:val="00B151A5"/>
    <w:rsid w:val="00B206CB"/>
    <w:rsid w:val="00B23DB0"/>
    <w:rsid w:val="00B2496C"/>
    <w:rsid w:val="00B33F1F"/>
    <w:rsid w:val="00B530AC"/>
    <w:rsid w:val="00B80C39"/>
    <w:rsid w:val="00B975E9"/>
    <w:rsid w:val="00BA7514"/>
    <w:rsid w:val="00BB7D33"/>
    <w:rsid w:val="00BC0B80"/>
    <w:rsid w:val="00BC397B"/>
    <w:rsid w:val="00BE1C28"/>
    <w:rsid w:val="00C05CA7"/>
    <w:rsid w:val="00C34CBD"/>
    <w:rsid w:val="00C6578D"/>
    <w:rsid w:val="00C844CB"/>
    <w:rsid w:val="00C95A32"/>
    <w:rsid w:val="00CD0BC0"/>
    <w:rsid w:val="00CF74FE"/>
    <w:rsid w:val="00D02313"/>
    <w:rsid w:val="00D218CF"/>
    <w:rsid w:val="00D31825"/>
    <w:rsid w:val="00D33DDB"/>
    <w:rsid w:val="00D635BA"/>
    <w:rsid w:val="00D82ADA"/>
    <w:rsid w:val="00D84928"/>
    <w:rsid w:val="00D877F7"/>
    <w:rsid w:val="00D97FDC"/>
    <w:rsid w:val="00DB6E7A"/>
    <w:rsid w:val="00DC599C"/>
    <w:rsid w:val="00DF0C1F"/>
    <w:rsid w:val="00E02050"/>
    <w:rsid w:val="00E076A6"/>
    <w:rsid w:val="00E3752C"/>
    <w:rsid w:val="00E45CD3"/>
    <w:rsid w:val="00E72ECE"/>
    <w:rsid w:val="00E80A5E"/>
    <w:rsid w:val="00EB5C91"/>
    <w:rsid w:val="00EC0A28"/>
    <w:rsid w:val="00EC2D1E"/>
    <w:rsid w:val="00EC71ED"/>
    <w:rsid w:val="00EE283A"/>
    <w:rsid w:val="00EE67A9"/>
    <w:rsid w:val="00EF43AD"/>
    <w:rsid w:val="00F33065"/>
    <w:rsid w:val="00F34EE8"/>
    <w:rsid w:val="00F428E5"/>
    <w:rsid w:val="00F444B1"/>
    <w:rsid w:val="00F466F5"/>
    <w:rsid w:val="00F46D73"/>
    <w:rsid w:val="00F541D1"/>
    <w:rsid w:val="00F639F4"/>
    <w:rsid w:val="00F7188F"/>
    <w:rsid w:val="00F747D4"/>
    <w:rsid w:val="00F802BC"/>
    <w:rsid w:val="00F9095C"/>
    <w:rsid w:val="00FA3B55"/>
    <w:rsid w:val="00FB0039"/>
    <w:rsid w:val="00FC0737"/>
    <w:rsid w:val="00FD45A9"/>
    <w:rsid w:val="00FF270D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35FE8B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7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FB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3A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39F4"/>
    <w:pPr>
      <w:spacing w:before="100" w:beforeAutospacing="1" w:after="100" w:afterAutospacing="1"/>
    </w:pPr>
    <w:rPr>
      <w:rFonts w:eastAsiaTheme="minorEastAsia"/>
    </w:rPr>
  </w:style>
  <w:style w:type="character" w:styleId="HTMLCite">
    <w:name w:val="HTML Cite"/>
    <w:basedOn w:val="DefaultParagraphFont"/>
    <w:uiPriority w:val="99"/>
    <w:unhideWhenUsed/>
    <w:rsid w:val="003E080C"/>
    <w:rPr>
      <w:i/>
      <w:iCs/>
    </w:rPr>
  </w:style>
  <w:style w:type="character" w:customStyle="1" w:styleId="author">
    <w:name w:val="author"/>
    <w:basedOn w:val="DefaultParagraphFont"/>
    <w:rsid w:val="003E080C"/>
  </w:style>
  <w:style w:type="character" w:customStyle="1" w:styleId="articletitle">
    <w:name w:val="articletitle"/>
    <w:basedOn w:val="DefaultParagraphFont"/>
    <w:rsid w:val="003E080C"/>
  </w:style>
  <w:style w:type="character" w:customStyle="1" w:styleId="journaltitle">
    <w:name w:val="journaltitle"/>
    <w:basedOn w:val="DefaultParagraphFont"/>
    <w:rsid w:val="003E080C"/>
  </w:style>
  <w:style w:type="character" w:customStyle="1" w:styleId="pubyear">
    <w:name w:val="pubyear"/>
    <w:basedOn w:val="DefaultParagraphFont"/>
    <w:rsid w:val="003E080C"/>
  </w:style>
  <w:style w:type="character" w:customStyle="1" w:styleId="vol">
    <w:name w:val="vol"/>
    <w:basedOn w:val="DefaultParagraphFont"/>
    <w:rsid w:val="003E080C"/>
  </w:style>
  <w:style w:type="character" w:customStyle="1" w:styleId="pagefirst">
    <w:name w:val="pagefirst"/>
    <w:basedOn w:val="DefaultParagraphFont"/>
    <w:rsid w:val="003E080C"/>
  </w:style>
  <w:style w:type="character" w:customStyle="1" w:styleId="pagelast">
    <w:name w:val="pagelast"/>
    <w:basedOn w:val="DefaultParagraphFont"/>
    <w:rsid w:val="003E080C"/>
  </w:style>
  <w:style w:type="character" w:styleId="CommentReference">
    <w:name w:val="annotation reference"/>
    <w:basedOn w:val="DefaultParagraphFont"/>
    <w:rsid w:val="00EF4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4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43AD"/>
  </w:style>
  <w:style w:type="paragraph" w:styleId="CommentSubject">
    <w:name w:val="annotation subject"/>
    <w:basedOn w:val="CommentText"/>
    <w:next w:val="CommentText"/>
    <w:link w:val="CommentSubjectChar"/>
    <w:rsid w:val="00EF4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43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27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04EA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4EAD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9F4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9F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ongenecker%20JC%5BAuthor%5D&amp;cauthor=true&amp;cauthor_uid=25989501" TargetMode="External"/><Relationship Id="rId13" Type="http://schemas.openxmlformats.org/officeDocument/2006/relationships/hyperlink" Target="https://www.ncbi.nlm.nih.gov/pubmed/?term=Bari%20K%5BAuthor%5D&amp;cauthor=true&amp;cauthor_uid=26311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harma%20P%5BAuthor%5D&amp;cauthor=true&amp;cauthor_uid=263116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Atta%20MG%5BAuthor%5D&amp;cauthor=true&amp;cauthor_uid=259895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?term=Segev%20DL%5BAuthor%5D&amp;cauthor=true&amp;cauthor_uid=25989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Estrella%20MM%5BAuthor%5D&amp;cauthor=true&amp;cauthor_uid=259895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DE50-7801-4BD0-A6ED-12FFFBB1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1957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Richard Milam</cp:lastModifiedBy>
  <cp:revision>2</cp:revision>
  <cp:lastPrinted>2017-05-31T13:16:00Z</cp:lastPrinted>
  <dcterms:created xsi:type="dcterms:W3CDTF">2018-10-15T18:29:00Z</dcterms:created>
  <dcterms:modified xsi:type="dcterms:W3CDTF">2018-10-15T18:29:00Z</dcterms:modified>
</cp:coreProperties>
</file>