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b/>
          <w:bCs/>
          <w:sz w:val="20"/>
          <w:szCs w:val="20"/>
        </w:rPr>
        <w:t>Policy: Post-Liver Transplant Inpatient Immunosuppression Protocol</w:t>
      </w:r>
      <w:r w:rsidRPr="00141E94">
        <w:rPr>
          <w:rFonts w:ascii="Times New Roman" w:hAnsi="Times New Roman"/>
          <w:sz w:val="20"/>
          <w:szCs w:val="20"/>
        </w:rPr>
        <w:br/>
      </w:r>
      <w:r w:rsidRPr="00141E94">
        <w:rPr>
          <w:rFonts w:ascii="Times New Roman" w:hAnsi="Times New Roman"/>
          <w:sz w:val="20"/>
          <w:szCs w:val="20"/>
        </w:rPr>
        <w:br/>
      </w:r>
      <w:r w:rsidRPr="00141E94">
        <w:rPr>
          <w:rFonts w:ascii="Times New Roman" w:hAnsi="Times New Roman"/>
          <w:b/>
          <w:bCs/>
          <w:sz w:val="20"/>
          <w:szCs w:val="20"/>
        </w:rPr>
        <w:t>Statement: 1. Activation date</w:t>
      </w:r>
      <w:r w:rsidRPr="00141E94">
        <w:rPr>
          <w:rFonts w:ascii="Times New Roman" w:hAnsi="Times New Roman"/>
          <w:sz w:val="20"/>
          <w:szCs w:val="20"/>
        </w:rPr>
        <w:t xml:space="preserve">: 12/11/08 </w:t>
      </w:r>
    </w:p>
    <w:p w:rsidR="00141E94" w:rsidRPr="00141E94" w:rsidRDefault="00141E94" w:rsidP="00141E94">
      <w:pPr>
        <w:autoSpaceDE w:val="0"/>
        <w:autoSpaceDN w:val="0"/>
        <w:adjustRightInd w:val="0"/>
        <w:spacing w:before="100" w:after="100"/>
        <w:ind w:left="1080"/>
        <w:rPr>
          <w:rFonts w:ascii="Times New Roman" w:hAnsi="Times New Roman"/>
          <w:sz w:val="20"/>
          <w:szCs w:val="20"/>
        </w:rPr>
      </w:pPr>
      <w:r w:rsidRPr="00141E94">
        <w:rPr>
          <w:rFonts w:ascii="Times New Roman" w:hAnsi="Times New Roman"/>
          <w:b/>
          <w:bCs/>
          <w:sz w:val="20"/>
          <w:szCs w:val="20"/>
        </w:rPr>
        <w:t>2. Affected Department</w:t>
      </w:r>
      <w:r w:rsidRPr="00141E94">
        <w:rPr>
          <w:rFonts w:ascii="Times New Roman" w:hAnsi="Times New Roman"/>
          <w:sz w:val="20"/>
          <w:szCs w:val="20"/>
        </w:rPr>
        <w:t>: Liver transplant program</w:t>
      </w:r>
      <w:r w:rsidRPr="00141E94">
        <w:rPr>
          <w:rFonts w:ascii="Times New Roman" w:hAnsi="Times New Roman"/>
          <w:sz w:val="20"/>
          <w:szCs w:val="20"/>
        </w:rPr>
        <w:br/>
      </w:r>
      <w:r w:rsidRPr="00141E94">
        <w:rPr>
          <w:rFonts w:ascii="Times New Roman" w:hAnsi="Times New Roman"/>
          <w:b/>
          <w:bCs/>
          <w:sz w:val="20"/>
          <w:szCs w:val="20"/>
        </w:rPr>
        <w:t xml:space="preserve">3. </w:t>
      </w:r>
      <w:proofErr w:type="gramStart"/>
      <w:r w:rsidRPr="00141E94">
        <w:rPr>
          <w:rFonts w:ascii="Times New Roman" w:hAnsi="Times New Roman"/>
          <w:b/>
          <w:bCs/>
          <w:sz w:val="20"/>
          <w:szCs w:val="20"/>
        </w:rPr>
        <w:t>Vision Strategy</w:t>
      </w:r>
      <w:r w:rsidRPr="00141E94">
        <w:rPr>
          <w:rFonts w:ascii="Times New Roman" w:hAnsi="Times New Roman"/>
          <w:sz w:val="20"/>
          <w:szCs w:val="20"/>
        </w:rPr>
        <w:t>: Patient care</w:t>
      </w:r>
      <w:r w:rsidRPr="00141E94">
        <w:rPr>
          <w:rFonts w:ascii="Times New Roman" w:hAnsi="Times New Roman"/>
          <w:sz w:val="20"/>
          <w:szCs w:val="20"/>
        </w:rPr>
        <w:br/>
      </w:r>
      <w:r w:rsidRPr="00141E94">
        <w:rPr>
          <w:rFonts w:ascii="Times New Roman" w:hAnsi="Times New Roman"/>
          <w:b/>
          <w:bCs/>
          <w:sz w:val="20"/>
          <w:szCs w:val="20"/>
        </w:rPr>
        <w:t>4.</w:t>
      </w:r>
      <w:proofErr w:type="gramEnd"/>
      <w:r w:rsidRPr="00141E94">
        <w:rPr>
          <w:rFonts w:ascii="Times New Roman" w:hAnsi="Times New Roman"/>
          <w:b/>
          <w:bCs/>
          <w:sz w:val="20"/>
          <w:szCs w:val="20"/>
        </w:rPr>
        <w:t xml:space="preserve"> Policy Statement</w:t>
      </w:r>
      <w:r w:rsidRPr="00141E94">
        <w:rPr>
          <w:rFonts w:ascii="Times New Roman" w:hAnsi="Times New Roman"/>
          <w:sz w:val="20"/>
          <w:szCs w:val="20"/>
        </w:rPr>
        <w:t>: The Emory Transplant center will comply with all applicable federal, state, and local laws, regulations and policies regarding the management of prescribing medications and refills.</w:t>
      </w:r>
      <w:r w:rsidRPr="00141E94">
        <w:rPr>
          <w:rFonts w:ascii="Times New Roman" w:hAnsi="Times New Roman"/>
          <w:sz w:val="20"/>
          <w:szCs w:val="20"/>
        </w:rPr>
        <w:br/>
      </w:r>
      <w:r w:rsidRPr="00141E94">
        <w:rPr>
          <w:rFonts w:ascii="Times New Roman" w:hAnsi="Times New Roman"/>
          <w:b/>
          <w:bCs/>
          <w:sz w:val="20"/>
          <w:szCs w:val="20"/>
        </w:rPr>
        <w:t>5. Basis</w:t>
      </w:r>
      <w:r w:rsidRPr="00141E94">
        <w:rPr>
          <w:rFonts w:ascii="Times New Roman" w:hAnsi="Times New Roman"/>
          <w:sz w:val="20"/>
          <w:szCs w:val="20"/>
        </w:rPr>
        <w:t>: This policy is necessary for the protection of patients, physicians and staff.</w:t>
      </w:r>
      <w:r w:rsidRPr="00141E94">
        <w:rPr>
          <w:rFonts w:ascii="Times New Roman" w:hAnsi="Times New Roman"/>
          <w:sz w:val="20"/>
          <w:szCs w:val="20"/>
        </w:rPr>
        <w:br/>
      </w:r>
      <w:r w:rsidRPr="00141E94">
        <w:rPr>
          <w:rFonts w:ascii="Times New Roman" w:hAnsi="Times New Roman"/>
          <w:b/>
          <w:bCs/>
          <w:sz w:val="20"/>
          <w:szCs w:val="20"/>
        </w:rPr>
        <w:t>6. Administrative Responsibility</w:t>
      </w:r>
      <w:r w:rsidRPr="00141E94">
        <w:rPr>
          <w:rFonts w:ascii="Times New Roman" w:hAnsi="Times New Roman"/>
          <w:sz w:val="20"/>
          <w:szCs w:val="20"/>
        </w:rPr>
        <w:t>: Section heads, physicians, practitioners, and staff are responsible for compliance with this policy.</w:t>
      </w:r>
    </w:p>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sz w:val="20"/>
          <w:szCs w:val="20"/>
        </w:rPr>
        <w:br/>
      </w:r>
      <w:r w:rsidRPr="00141E94">
        <w:rPr>
          <w:rFonts w:ascii="Times New Roman" w:hAnsi="Times New Roman"/>
          <w:b/>
          <w:bCs/>
          <w:sz w:val="20"/>
          <w:szCs w:val="20"/>
        </w:rPr>
        <w:t>Scope/Procedure:</w:t>
      </w:r>
      <w:bookmarkStart w:id="0" w:name="_GoBack"/>
      <w:bookmarkEnd w:id="0"/>
    </w:p>
    <w:p w:rsidR="00141E94" w:rsidRPr="00141E94" w:rsidRDefault="00141E94" w:rsidP="00141E94">
      <w:pPr>
        <w:autoSpaceDE w:val="0"/>
        <w:autoSpaceDN w:val="0"/>
        <w:adjustRightInd w:val="0"/>
        <w:spacing w:before="100" w:after="100"/>
        <w:ind w:left="1080"/>
        <w:rPr>
          <w:rFonts w:ascii="Times New Roman" w:hAnsi="Times New Roman"/>
          <w:sz w:val="20"/>
          <w:szCs w:val="20"/>
        </w:rPr>
      </w:pPr>
      <w:r w:rsidRPr="00141E94">
        <w:rPr>
          <w:rFonts w:ascii="Times New Roman" w:hAnsi="Times New Roman"/>
          <w:b/>
          <w:bCs/>
          <w:sz w:val="20"/>
          <w:szCs w:val="20"/>
        </w:rPr>
        <w:t>7. Protocol</w:t>
      </w:r>
      <w:proofErr w:type="gramStart"/>
      <w:r w:rsidRPr="00141E94">
        <w:rPr>
          <w:rFonts w:ascii="Times New Roman" w:hAnsi="Times New Roman"/>
          <w:sz w:val="20"/>
          <w:szCs w:val="20"/>
        </w:rPr>
        <w:t>:</w:t>
      </w:r>
      <w:proofErr w:type="gramEnd"/>
      <w:r w:rsidRPr="00141E94">
        <w:rPr>
          <w:rFonts w:ascii="Times New Roman" w:hAnsi="Times New Roman"/>
          <w:sz w:val="20"/>
          <w:szCs w:val="20"/>
        </w:rPr>
        <w:br/>
        <w:t xml:space="preserve">I. Induction </w:t>
      </w:r>
    </w:p>
    <w:p w:rsidR="00141E94" w:rsidRPr="00141E94" w:rsidRDefault="00141E94" w:rsidP="00141E94">
      <w:pPr>
        <w:autoSpaceDE w:val="0"/>
        <w:autoSpaceDN w:val="0"/>
        <w:adjustRightInd w:val="0"/>
        <w:spacing w:before="100" w:after="100"/>
        <w:ind w:left="3960"/>
        <w:rPr>
          <w:rFonts w:ascii="Times New Roman" w:hAnsi="Times New Roman"/>
          <w:sz w:val="20"/>
          <w:szCs w:val="20"/>
        </w:rPr>
      </w:pPr>
      <w:r w:rsidRPr="00141E94">
        <w:rPr>
          <w:rFonts w:ascii="Times New Roman" w:hAnsi="Times New Roman"/>
          <w:sz w:val="20"/>
          <w:szCs w:val="20"/>
        </w:rPr>
        <w:t xml:space="preserve">a. </w:t>
      </w:r>
      <w:proofErr w:type="spellStart"/>
      <w:r w:rsidRPr="00141E94">
        <w:rPr>
          <w:rFonts w:ascii="Times New Roman" w:hAnsi="Times New Roman"/>
          <w:sz w:val="20"/>
          <w:szCs w:val="20"/>
        </w:rPr>
        <w:t>Basiliximab</w:t>
      </w:r>
      <w:proofErr w:type="spellEnd"/>
      <w:r w:rsidRPr="00141E94">
        <w:rPr>
          <w:rFonts w:ascii="Times New Roman" w:hAnsi="Times New Roman"/>
          <w:sz w:val="20"/>
          <w:szCs w:val="20"/>
        </w:rPr>
        <w:t xml:space="preserve"> (</w:t>
      </w:r>
      <w:proofErr w:type="spellStart"/>
      <w:r w:rsidRPr="00141E94">
        <w:rPr>
          <w:rFonts w:ascii="Times New Roman" w:hAnsi="Times New Roman"/>
          <w:sz w:val="20"/>
          <w:szCs w:val="20"/>
        </w:rPr>
        <w:t>Simulect</w:t>
      </w:r>
      <w:proofErr w:type="spellEnd"/>
      <w:r w:rsidRPr="00141E94">
        <w:rPr>
          <w:rFonts w:ascii="Times New Roman" w:hAnsi="Times New Roman"/>
          <w:sz w:val="20"/>
          <w:szCs w:val="20"/>
        </w:rPr>
        <w:t xml:space="preserve">) induction </w:t>
      </w:r>
    </w:p>
    <w:p w:rsidR="00141E94" w:rsidRPr="00141E94" w:rsidRDefault="00141E94" w:rsidP="00141E94">
      <w:pPr>
        <w:autoSpaceDE w:val="0"/>
        <w:autoSpaceDN w:val="0"/>
        <w:adjustRightInd w:val="0"/>
        <w:spacing w:before="100" w:after="100"/>
        <w:ind w:left="5400"/>
        <w:rPr>
          <w:rFonts w:ascii="Times New Roman" w:hAnsi="Times New Roman"/>
          <w:sz w:val="20"/>
          <w:szCs w:val="20"/>
        </w:rPr>
      </w:pPr>
      <w:proofErr w:type="spellStart"/>
      <w:r w:rsidRPr="00141E94">
        <w:rPr>
          <w:rFonts w:ascii="Times New Roman" w:hAnsi="Times New Roman"/>
          <w:sz w:val="20"/>
          <w:szCs w:val="20"/>
        </w:rPr>
        <w:t>i</w:t>
      </w:r>
      <w:proofErr w:type="spellEnd"/>
      <w:r w:rsidRPr="00141E94">
        <w:rPr>
          <w:rFonts w:ascii="Times New Roman" w:hAnsi="Times New Roman"/>
          <w:sz w:val="20"/>
          <w:szCs w:val="20"/>
        </w:rPr>
        <w:t>. All patients with renal insufficiency (</w:t>
      </w:r>
      <w:proofErr w:type="spellStart"/>
      <w:r w:rsidRPr="00141E94">
        <w:rPr>
          <w:rFonts w:ascii="Times New Roman" w:hAnsi="Times New Roman"/>
          <w:sz w:val="20"/>
          <w:szCs w:val="20"/>
        </w:rPr>
        <w:t>CrCl</w:t>
      </w:r>
      <w:proofErr w:type="spellEnd"/>
      <w:r w:rsidRPr="00141E94">
        <w:rPr>
          <w:rFonts w:ascii="Times New Roman" w:hAnsi="Times New Roman"/>
          <w:sz w:val="20"/>
          <w:szCs w:val="20"/>
        </w:rPr>
        <w:t>&lt; 60 ml/min) will receive</w:t>
      </w:r>
      <w:r w:rsidRPr="00141E94">
        <w:rPr>
          <w:rFonts w:ascii="Times New Roman" w:hAnsi="Times New Roman"/>
          <w:color w:val="FF0000"/>
          <w:sz w:val="20"/>
          <w:szCs w:val="20"/>
        </w:rPr>
        <w:t xml:space="preserve"> </w:t>
      </w:r>
      <w:proofErr w:type="spellStart"/>
      <w:r w:rsidRPr="00141E94">
        <w:rPr>
          <w:rFonts w:ascii="Times New Roman" w:hAnsi="Times New Roman"/>
          <w:sz w:val="20"/>
          <w:szCs w:val="20"/>
        </w:rPr>
        <w:t>basiliximab</w:t>
      </w:r>
      <w:proofErr w:type="spellEnd"/>
      <w:r w:rsidRPr="00141E94">
        <w:rPr>
          <w:rFonts w:ascii="Times New Roman" w:hAnsi="Times New Roman"/>
          <w:sz w:val="20"/>
          <w:szCs w:val="20"/>
        </w:rPr>
        <w:t xml:space="preserve"> (</w:t>
      </w:r>
      <w:proofErr w:type="spellStart"/>
      <w:r w:rsidRPr="00141E94">
        <w:rPr>
          <w:rFonts w:ascii="Times New Roman" w:hAnsi="Times New Roman"/>
          <w:sz w:val="20"/>
          <w:szCs w:val="20"/>
        </w:rPr>
        <w:t>Simulect</w:t>
      </w:r>
      <w:proofErr w:type="spellEnd"/>
      <w:r w:rsidRPr="00141E94">
        <w:rPr>
          <w:rFonts w:ascii="Times New Roman" w:hAnsi="Times New Roman"/>
          <w:sz w:val="20"/>
          <w:szCs w:val="20"/>
        </w:rPr>
        <w:t>) induction at a dose of 20mg after reperfusion in the OR and a second dose of 20mg on POD #4</w:t>
      </w:r>
      <w:r w:rsidRPr="00141E94">
        <w:rPr>
          <w:rFonts w:ascii="Times New Roman" w:hAnsi="Times New Roman"/>
          <w:color w:val="FF0000"/>
          <w:sz w:val="20"/>
          <w:szCs w:val="20"/>
        </w:rPr>
        <w:t>.</w:t>
      </w:r>
      <w:r w:rsidRPr="00141E94">
        <w:rPr>
          <w:rFonts w:ascii="Times New Roman" w:hAnsi="Times New Roman"/>
          <w:sz w:val="20"/>
          <w:szCs w:val="20"/>
        </w:rPr>
        <w:t xml:space="preserve"> The appropriate quantity of </w:t>
      </w:r>
      <w:proofErr w:type="spellStart"/>
      <w:r w:rsidRPr="00141E94">
        <w:rPr>
          <w:rFonts w:ascii="Times New Roman" w:hAnsi="Times New Roman"/>
          <w:sz w:val="20"/>
          <w:szCs w:val="20"/>
        </w:rPr>
        <w:t>basiliximab</w:t>
      </w:r>
      <w:proofErr w:type="spellEnd"/>
      <w:r w:rsidRPr="00141E94">
        <w:rPr>
          <w:rFonts w:ascii="Times New Roman" w:hAnsi="Times New Roman"/>
          <w:sz w:val="20"/>
          <w:szCs w:val="20"/>
        </w:rPr>
        <w:t xml:space="preserve"> will be diluted with 50ml 0.9% NS in a mini-bag. The diluted medication may be stored for 24 hours at 2-8ºC (36-46ºF) before administration. The drug will be administered via constant intravenous infusion over a period of 15 minutes. At the end of the infusion, the line should be flushed with 10ml of 0.9% NS.</w:t>
      </w:r>
    </w:p>
    <w:p w:rsidR="00141E94" w:rsidRPr="00141E94" w:rsidRDefault="00141E94" w:rsidP="00141E94">
      <w:pPr>
        <w:autoSpaceDE w:val="0"/>
        <w:autoSpaceDN w:val="0"/>
        <w:adjustRightInd w:val="0"/>
        <w:spacing w:before="100" w:after="100"/>
        <w:ind w:left="4320"/>
        <w:rPr>
          <w:rFonts w:ascii="Times New Roman" w:hAnsi="Times New Roman"/>
          <w:sz w:val="20"/>
          <w:szCs w:val="20"/>
        </w:rPr>
      </w:pPr>
      <w:r w:rsidRPr="00141E94">
        <w:rPr>
          <w:rFonts w:ascii="Times New Roman" w:hAnsi="Times New Roman"/>
          <w:sz w:val="20"/>
          <w:szCs w:val="20"/>
        </w:rPr>
        <w:t xml:space="preserve">b. Steroids </w:t>
      </w:r>
    </w:p>
    <w:p w:rsidR="00141E94" w:rsidRPr="00141E94" w:rsidRDefault="00141E94" w:rsidP="00141E94">
      <w:pPr>
        <w:autoSpaceDE w:val="0"/>
        <w:autoSpaceDN w:val="0"/>
        <w:adjustRightInd w:val="0"/>
        <w:spacing w:before="100" w:after="100"/>
        <w:ind w:left="5400"/>
        <w:rPr>
          <w:rFonts w:ascii="Times New Roman" w:hAnsi="Times New Roman"/>
          <w:sz w:val="20"/>
          <w:szCs w:val="20"/>
        </w:rPr>
      </w:pPr>
      <w:proofErr w:type="spellStart"/>
      <w:r w:rsidRPr="00141E94">
        <w:rPr>
          <w:rFonts w:ascii="Times New Roman" w:hAnsi="Times New Roman"/>
          <w:sz w:val="20"/>
          <w:szCs w:val="20"/>
        </w:rPr>
        <w:t>i</w:t>
      </w:r>
      <w:proofErr w:type="spellEnd"/>
      <w:r w:rsidRPr="00141E94">
        <w:rPr>
          <w:rFonts w:ascii="Times New Roman" w:hAnsi="Times New Roman"/>
          <w:sz w:val="20"/>
          <w:szCs w:val="20"/>
        </w:rPr>
        <w:t>. All patients will receive methylprednisolone (</w:t>
      </w:r>
      <w:proofErr w:type="spellStart"/>
      <w:r w:rsidRPr="00141E94">
        <w:rPr>
          <w:rFonts w:ascii="Times New Roman" w:hAnsi="Times New Roman"/>
          <w:sz w:val="20"/>
          <w:szCs w:val="20"/>
        </w:rPr>
        <w:t>SoluMedrol</w:t>
      </w:r>
      <w:proofErr w:type="spellEnd"/>
      <w:r w:rsidRPr="00141E94">
        <w:rPr>
          <w:rFonts w:ascii="Times New Roman" w:hAnsi="Times New Roman"/>
          <w:sz w:val="20"/>
          <w:szCs w:val="20"/>
        </w:rPr>
        <w:t xml:space="preserve">) 500mg IV x 1 for induction. </w:t>
      </w:r>
    </w:p>
    <w:p w:rsidR="00141E94" w:rsidRPr="00141E94" w:rsidRDefault="00141E94" w:rsidP="00141E94">
      <w:pPr>
        <w:autoSpaceDE w:val="0"/>
        <w:autoSpaceDN w:val="0"/>
        <w:adjustRightInd w:val="0"/>
        <w:spacing w:before="100" w:after="100"/>
        <w:ind w:left="1440"/>
        <w:rPr>
          <w:rFonts w:ascii="Times New Roman" w:hAnsi="Times New Roman"/>
          <w:sz w:val="20"/>
          <w:szCs w:val="20"/>
        </w:rPr>
      </w:pPr>
      <w:r w:rsidRPr="00141E94">
        <w:rPr>
          <w:rFonts w:ascii="Times New Roman" w:hAnsi="Times New Roman"/>
          <w:sz w:val="20"/>
          <w:szCs w:val="20"/>
        </w:rPr>
        <w:t xml:space="preserve">II. Steroids </w:t>
      </w:r>
    </w:p>
    <w:p w:rsidR="00141E94" w:rsidRPr="00141E94" w:rsidRDefault="00141E94" w:rsidP="00141E94">
      <w:pPr>
        <w:autoSpaceDE w:val="0"/>
        <w:autoSpaceDN w:val="0"/>
        <w:adjustRightInd w:val="0"/>
        <w:spacing w:before="100" w:after="100"/>
        <w:ind w:left="3960"/>
        <w:rPr>
          <w:rFonts w:ascii="Times New Roman" w:hAnsi="Times New Roman"/>
          <w:sz w:val="20"/>
          <w:szCs w:val="20"/>
        </w:rPr>
      </w:pPr>
      <w:r w:rsidRPr="00141E94">
        <w:rPr>
          <w:rFonts w:ascii="Times New Roman" w:hAnsi="Times New Roman"/>
          <w:sz w:val="20"/>
          <w:szCs w:val="20"/>
        </w:rPr>
        <w:t xml:space="preserve">Patients transplanted for indications other than viral hepatitis (Hepatitis C) will receive steroids. Refer to the HCV protocol for information about steroids in HCV. The standard steroid protocol should be as follows: </w:t>
      </w:r>
    </w:p>
    <w:tbl>
      <w:tblPr>
        <w:tblW w:w="0" w:type="auto"/>
        <w:tblInd w:w="23" w:type="dxa"/>
        <w:tblLayout w:type="fixed"/>
        <w:tblCellMar>
          <w:left w:w="0" w:type="dxa"/>
          <w:right w:w="0" w:type="dxa"/>
        </w:tblCellMar>
        <w:tblLook w:val="0000" w:firstRow="0" w:lastRow="0" w:firstColumn="0" w:lastColumn="0" w:noHBand="0" w:noVBand="0"/>
      </w:tblPr>
      <w:tblGrid>
        <w:gridCol w:w="3510"/>
        <w:gridCol w:w="4785"/>
      </w:tblGrid>
      <w:tr w:rsidR="00141E94" w:rsidRPr="00141E94">
        <w:tblPrEx>
          <w:tblCellMar>
            <w:top w:w="0" w:type="dxa"/>
            <w:left w:w="0" w:type="dxa"/>
            <w:bottom w:w="0" w:type="dxa"/>
            <w:right w:w="0" w:type="dxa"/>
          </w:tblCellMar>
        </w:tblPrEx>
        <w:tc>
          <w:tcPr>
            <w:tcW w:w="3510" w:type="dxa"/>
            <w:tcBorders>
              <w:top w:val="threeDEmboss" w:sz="6" w:space="0" w:color="auto"/>
              <w:left w:val="threeDEmboss" w:sz="6" w:space="0" w:color="auto"/>
              <w:bottom w:val="threeDEmboss" w:sz="6" w:space="0" w:color="auto"/>
              <w:right w:val="threeDEmboss" w:sz="6" w:space="0" w:color="auto"/>
            </w:tcBorders>
            <w:vAlign w:val="center"/>
          </w:tcPr>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b/>
                <w:bCs/>
                <w:sz w:val="20"/>
                <w:szCs w:val="20"/>
              </w:rPr>
              <w:t>Day</w:t>
            </w:r>
          </w:p>
        </w:tc>
        <w:tc>
          <w:tcPr>
            <w:tcW w:w="4785" w:type="dxa"/>
            <w:tcBorders>
              <w:top w:val="threeDEmboss" w:sz="6" w:space="0" w:color="auto"/>
              <w:left w:val="threeDEmboss" w:sz="6" w:space="0" w:color="auto"/>
              <w:bottom w:val="threeDEmboss" w:sz="6" w:space="0" w:color="auto"/>
              <w:right w:val="threeDEmboss" w:sz="6" w:space="0" w:color="auto"/>
            </w:tcBorders>
            <w:vAlign w:val="center"/>
          </w:tcPr>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b/>
                <w:bCs/>
                <w:sz w:val="20"/>
                <w:szCs w:val="20"/>
              </w:rPr>
              <w:t>Methylprednisolone IV or Prednisone PO</w:t>
            </w:r>
          </w:p>
        </w:tc>
      </w:tr>
      <w:tr w:rsidR="00141E94" w:rsidRPr="00141E94">
        <w:tblPrEx>
          <w:tblCellMar>
            <w:top w:w="0" w:type="dxa"/>
            <w:left w:w="0" w:type="dxa"/>
            <w:bottom w:w="0" w:type="dxa"/>
            <w:right w:w="0" w:type="dxa"/>
          </w:tblCellMar>
        </w:tblPrEx>
        <w:tc>
          <w:tcPr>
            <w:tcW w:w="3510" w:type="dxa"/>
            <w:tcBorders>
              <w:top w:val="threeDEmboss" w:sz="6" w:space="0" w:color="auto"/>
              <w:left w:val="threeDEmboss" w:sz="6" w:space="0" w:color="auto"/>
              <w:bottom w:val="threeDEmboss" w:sz="6" w:space="0" w:color="auto"/>
              <w:right w:val="threeDEmboss" w:sz="6" w:space="0" w:color="auto"/>
            </w:tcBorders>
            <w:vAlign w:val="center"/>
          </w:tcPr>
          <w:p w:rsidR="00141E94" w:rsidRPr="00141E94" w:rsidRDefault="00141E94" w:rsidP="00141E94">
            <w:pPr>
              <w:autoSpaceDE w:val="0"/>
              <w:autoSpaceDN w:val="0"/>
              <w:adjustRightInd w:val="0"/>
              <w:spacing w:before="100" w:after="100"/>
              <w:rPr>
                <w:rFonts w:ascii="Times New Roman" w:hAnsi="Times New Roman"/>
                <w:sz w:val="20"/>
                <w:szCs w:val="20"/>
              </w:rPr>
            </w:pPr>
            <w:proofErr w:type="spellStart"/>
            <w:r w:rsidRPr="00141E94">
              <w:rPr>
                <w:rFonts w:ascii="Times New Roman" w:hAnsi="Times New Roman"/>
                <w:sz w:val="20"/>
                <w:szCs w:val="20"/>
              </w:rPr>
              <w:t>Intrap</w:t>
            </w:r>
            <w:proofErr w:type="spellEnd"/>
            <w:r w:rsidRPr="00141E94">
              <w:rPr>
                <w:rFonts w:ascii="Times New Roman" w:hAnsi="Times New Roman"/>
                <w:sz w:val="20"/>
                <w:szCs w:val="20"/>
              </w:rPr>
              <w:t xml:space="preserve"> (Day O)</w:t>
            </w:r>
          </w:p>
        </w:tc>
        <w:tc>
          <w:tcPr>
            <w:tcW w:w="4785" w:type="dxa"/>
            <w:tcBorders>
              <w:top w:val="threeDEmboss" w:sz="6" w:space="0" w:color="auto"/>
              <w:left w:val="threeDEmboss" w:sz="6" w:space="0" w:color="auto"/>
              <w:bottom w:val="threeDEmboss" w:sz="6" w:space="0" w:color="auto"/>
              <w:right w:val="threeDEmboss" w:sz="6" w:space="0" w:color="auto"/>
            </w:tcBorders>
            <w:vAlign w:val="center"/>
          </w:tcPr>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sz w:val="20"/>
                <w:szCs w:val="20"/>
              </w:rPr>
              <w:t>500 mg IV x 1</w:t>
            </w:r>
          </w:p>
        </w:tc>
      </w:tr>
      <w:tr w:rsidR="00141E94" w:rsidRPr="00141E94">
        <w:tblPrEx>
          <w:tblCellMar>
            <w:top w:w="0" w:type="dxa"/>
            <w:left w:w="0" w:type="dxa"/>
            <w:bottom w:w="0" w:type="dxa"/>
            <w:right w:w="0" w:type="dxa"/>
          </w:tblCellMar>
        </w:tblPrEx>
        <w:tc>
          <w:tcPr>
            <w:tcW w:w="3510" w:type="dxa"/>
            <w:tcBorders>
              <w:top w:val="threeDEmboss" w:sz="6" w:space="0" w:color="auto"/>
              <w:left w:val="threeDEmboss" w:sz="6" w:space="0" w:color="auto"/>
              <w:bottom w:val="threeDEmboss" w:sz="6" w:space="0" w:color="auto"/>
              <w:right w:val="threeDEmboss" w:sz="6" w:space="0" w:color="auto"/>
            </w:tcBorders>
            <w:vAlign w:val="center"/>
          </w:tcPr>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sz w:val="20"/>
                <w:szCs w:val="20"/>
              </w:rPr>
              <w:t>POD1</w:t>
            </w:r>
          </w:p>
        </w:tc>
        <w:tc>
          <w:tcPr>
            <w:tcW w:w="4785" w:type="dxa"/>
            <w:tcBorders>
              <w:top w:val="threeDEmboss" w:sz="6" w:space="0" w:color="auto"/>
              <w:left w:val="threeDEmboss" w:sz="6" w:space="0" w:color="auto"/>
              <w:bottom w:val="threeDEmboss" w:sz="6" w:space="0" w:color="auto"/>
              <w:right w:val="threeDEmboss" w:sz="6" w:space="0" w:color="auto"/>
            </w:tcBorders>
            <w:vAlign w:val="center"/>
          </w:tcPr>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sz w:val="20"/>
                <w:szCs w:val="20"/>
              </w:rPr>
              <w:t>160 mg IV x 1</w:t>
            </w:r>
          </w:p>
        </w:tc>
      </w:tr>
      <w:tr w:rsidR="00141E94" w:rsidRPr="00141E94">
        <w:tblPrEx>
          <w:tblCellMar>
            <w:top w:w="0" w:type="dxa"/>
            <w:left w:w="0" w:type="dxa"/>
            <w:bottom w:w="0" w:type="dxa"/>
            <w:right w:w="0" w:type="dxa"/>
          </w:tblCellMar>
        </w:tblPrEx>
        <w:tc>
          <w:tcPr>
            <w:tcW w:w="3510" w:type="dxa"/>
            <w:tcBorders>
              <w:top w:val="threeDEmboss" w:sz="6" w:space="0" w:color="auto"/>
              <w:left w:val="threeDEmboss" w:sz="6" w:space="0" w:color="auto"/>
              <w:bottom w:val="threeDEmboss" w:sz="6" w:space="0" w:color="auto"/>
              <w:right w:val="threeDEmboss" w:sz="6" w:space="0" w:color="auto"/>
            </w:tcBorders>
            <w:vAlign w:val="center"/>
          </w:tcPr>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sz w:val="20"/>
                <w:szCs w:val="20"/>
              </w:rPr>
              <w:t>POD2</w:t>
            </w:r>
          </w:p>
        </w:tc>
        <w:tc>
          <w:tcPr>
            <w:tcW w:w="4785" w:type="dxa"/>
            <w:tcBorders>
              <w:top w:val="threeDEmboss" w:sz="6" w:space="0" w:color="auto"/>
              <w:left w:val="threeDEmboss" w:sz="6" w:space="0" w:color="auto"/>
              <w:bottom w:val="threeDEmboss" w:sz="6" w:space="0" w:color="auto"/>
              <w:right w:val="threeDEmboss" w:sz="6" w:space="0" w:color="auto"/>
            </w:tcBorders>
            <w:vAlign w:val="center"/>
          </w:tcPr>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sz w:val="20"/>
                <w:szCs w:val="20"/>
              </w:rPr>
              <w:t>120 mg IV x 1</w:t>
            </w:r>
          </w:p>
        </w:tc>
      </w:tr>
      <w:tr w:rsidR="00141E94" w:rsidRPr="00141E94">
        <w:tblPrEx>
          <w:tblCellMar>
            <w:top w:w="0" w:type="dxa"/>
            <w:left w:w="0" w:type="dxa"/>
            <w:bottom w:w="0" w:type="dxa"/>
            <w:right w:w="0" w:type="dxa"/>
          </w:tblCellMar>
        </w:tblPrEx>
        <w:tc>
          <w:tcPr>
            <w:tcW w:w="3510" w:type="dxa"/>
            <w:tcBorders>
              <w:top w:val="threeDEmboss" w:sz="6" w:space="0" w:color="auto"/>
              <w:left w:val="threeDEmboss" w:sz="6" w:space="0" w:color="auto"/>
              <w:bottom w:val="threeDEmboss" w:sz="6" w:space="0" w:color="auto"/>
              <w:right w:val="threeDEmboss" w:sz="6" w:space="0" w:color="auto"/>
            </w:tcBorders>
            <w:vAlign w:val="center"/>
          </w:tcPr>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sz w:val="20"/>
                <w:szCs w:val="20"/>
              </w:rPr>
              <w:t>POD3</w:t>
            </w:r>
          </w:p>
        </w:tc>
        <w:tc>
          <w:tcPr>
            <w:tcW w:w="4785" w:type="dxa"/>
            <w:tcBorders>
              <w:top w:val="threeDEmboss" w:sz="6" w:space="0" w:color="auto"/>
              <w:left w:val="threeDEmboss" w:sz="6" w:space="0" w:color="auto"/>
              <w:bottom w:val="threeDEmboss" w:sz="6" w:space="0" w:color="auto"/>
              <w:right w:val="threeDEmboss" w:sz="6" w:space="0" w:color="auto"/>
            </w:tcBorders>
            <w:vAlign w:val="center"/>
          </w:tcPr>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sz w:val="20"/>
                <w:szCs w:val="20"/>
              </w:rPr>
              <w:t>80 mg IV x 1</w:t>
            </w:r>
          </w:p>
        </w:tc>
      </w:tr>
      <w:tr w:rsidR="00141E94" w:rsidRPr="00141E94">
        <w:tblPrEx>
          <w:tblCellMar>
            <w:top w:w="0" w:type="dxa"/>
            <w:left w:w="0" w:type="dxa"/>
            <w:bottom w:w="0" w:type="dxa"/>
            <w:right w:w="0" w:type="dxa"/>
          </w:tblCellMar>
        </w:tblPrEx>
        <w:tc>
          <w:tcPr>
            <w:tcW w:w="3510" w:type="dxa"/>
            <w:tcBorders>
              <w:top w:val="threeDEmboss" w:sz="6" w:space="0" w:color="auto"/>
              <w:left w:val="threeDEmboss" w:sz="6" w:space="0" w:color="auto"/>
              <w:bottom w:val="threeDEmboss" w:sz="6" w:space="0" w:color="auto"/>
              <w:right w:val="threeDEmboss" w:sz="6" w:space="0" w:color="auto"/>
            </w:tcBorders>
            <w:vAlign w:val="center"/>
          </w:tcPr>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sz w:val="20"/>
                <w:szCs w:val="20"/>
              </w:rPr>
              <w:t>POD4</w:t>
            </w:r>
          </w:p>
        </w:tc>
        <w:tc>
          <w:tcPr>
            <w:tcW w:w="4785" w:type="dxa"/>
            <w:tcBorders>
              <w:top w:val="threeDEmboss" w:sz="6" w:space="0" w:color="auto"/>
              <w:left w:val="threeDEmboss" w:sz="6" w:space="0" w:color="auto"/>
              <w:bottom w:val="threeDEmboss" w:sz="6" w:space="0" w:color="auto"/>
              <w:right w:val="threeDEmboss" w:sz="6" w:space="0" w:color="auto"/>
            </w:tcBorders>
            <w:vAlign w:val="center"/>
          </w:tcPr>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sz w:val="20"/>
                <w:szCs w:val="20"/>
              </w:rPr>
              <w:t>40 mg IV/PO x 1</w:t>
            </w:r>
          </w:p>
        </w:tc>
      </w:tr>
      <w:tr w:rsidR="00141E94" w:rsidRPr="00141E94">
        <w:tblPrEx>
          <w:tblCellMar>
            <w:top w:w="0" w:type="dxa"/>
            <w:left w:w="0" w:type="dxa"/>
            <w:bottom w:w="0" w:type="dxa"/>
            <w:right w:w="0" w:type="dxa"/>
          </w:tblCellMar>
        </w:tblPrEx>
        <w:tc>
          <w:tcPr>
            <w:tcW w:w="3510" w:type="dxa"/>
            <w:tcBorders>
              <w:top w:val="threeDEmboss" w:sz="6" w:space="0" w:color="auto"/>
              <w:left w:val="threeDEmboss" w:sz="6" w:space="0" w:color="auto"/>
              <w:bottom w:val="threeDEmboss" w:sz="6" w:space="0" w:color="auto"/>
              <w:right w:val="threeDEmboss" w:sz="6" w:space="0" w:color="auto"/>
            </w:tcBorders>
            <w:vAlign w:val="center"/>
          </w:tcPr>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sz w:val="20"/>
                <w:szCs w:val="20"/>
              </w:rPr>
              <w:t>POD5 – 30</w:t>
            </w:r>
          </w:p>
        </w:tc>
        <w:tc>
          <w:tcPr>
            <w:tcW w:w="4785" w:type="dxa"/>
            <w:tcBorders>
              <w:top w:val="threeDEmboss" w:sz="6" w:space="0" w:color="auto"/>
              <w:left w:val="threeDEmboss" w:sz="6" w:space="0" w:color="auto"/>
              <w:bottom w:val="threeDEmboss" w:sz="6" w:space="0" w:color="auto"/>
              <w:right w:val="threeDEmboss" w:sz="6" w:space="0" w:color="auto"/>
            </w:tcBorders>
            <w:vAlign w:val="center"/>
          </w:tcPr>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sz w:val="20"/>
                <w:szCs w:val="20"/>
              </w:rPr>
              <w:t xml:space="preserve">20 mg IV/PO </w:t>
            </w:r>
            <w:proofErr w:type="spellStart"/>
            <w:r w:rsidRPr="00141E94">
              <w:rPr>
                <w:rFonts w:ascii="Times New Roman" w:hAnsi="Times New Roman"/>
                <w:sz w:val="20"/>
                <w:szCs w:val="20"/>
              </w:rPr>
              <w:t>qday</w:t>
            </w:r>
            <w:proofErr w:type="spellEnd"/>
          </w:p>
        </w:tc>
      </w:tr>
      <w:tr w:rsidR="00141E94" w:rsidRPr="00141E94">
        <w:tblPrEx>
          <w:tblCellMar>
            <w:top w:w="0" w:type="dxa"/>
            <w:left w:w="0" w:type="dxa"/>
            <w:bottom w:w="0" w:type="dxa"/>
            <w:right w:w="0" w:type="dxa"/>
          </w:tblCellMar>
        </w:tblPrEx>
        <w:tc>
          <w:tcPr>
            <w:tcW w:w="3510" w:type="dxa"/>
            <w:tcBorders>
              <w:top w:val="threeDEmboss" w:sz="6" w:space="0" w:color="auto"/>
              <w:left w:val="threeDEmboss" w:sz="6" w:space="0" w:color="auto"/>
              <w:bottom w:val="threeDEmboss" w:sz="6" w:space="0" w:color="auto"/>
              <w:right w:val="threeDEmboss" w:sz="6" w:space="0" w:color="auto"/>
            </w:tcBorders>
            <w:vAlign w:val="center"/>
          </w:tcPr>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sz w:val="20"/>
                <w:szCs w:val="20"/>
              </w:rPr>
              <w:lastRenderedPageBreak/>
              <w:t>POD 31 – 60</w:t>
            </w:r>
          </w:p>
        </w:tc>
        <w:tc>
          <w:tcPr>
            <w:tcW w:w="4785" w:type="dxa"/>
            <w:tcBorders>
              <w:top w:val="threeDEmboss" w:sz="6" w:space="0" w:color="auto"/>
              <w:left w:val="threeDEmboss" w:sz="6" w:space="0" w:color="auto"/>
              <w:bottom w:val="threeDEmboss" w:sz="6" w:space="0" w:color="auto"/>
              <w:right w:val="threeDEmboss" w:sz="6" w:space="0" w:color="auto"/>
            </w:tcBorders>
            <w:vAlign w:val="center"/>
          </w:tcPr>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sz w:val="20"/>
                <w:szCs w:val="20"/>
              </w:rPr>
              <w:t xml:space="preserve">10 mg IV/PO </w:t>
            </w:r>
            <w:proofErr w:type="spellStart"/>
            <w:r w:rsidRPr="00141E94">
              <w:rPr>
                <w:rFonts w:ascii="Times New Roman" w:hAnsi="Times New Roman"/>
                <w:sz w:val="20"/>
                <w:szCs w:val="20"/>
              </w:rPr>
              <w:t>qday</w:t>
            </w:r>
            <w:proofErr w:type="spellEnd"/>
          </w:p>
        </w:tc>
      </w:tr>
      <w:tr w:rsidR="00141E94" w:rsidRPr="00141E94">
        <w:tblPrEx>
          <w:tblCellMar>
            <w:top w:w="0" w:type="dxa"/>
            <w:left w:w="0" w:type="dxa"/>
            <w:bottom w:w="0" w:type="dxa"/>
            <w:right w:w="0" w:type="dxa"/>
          </w:tblCellMar>
        </w:tblPrEx>
        <w:tc>
          <w:tcPr>
            <w:tcW w:w="3510" w:type="dxa"/>
            <w:tcBorders>
              <w:top w:val="threeDEmboss" w:sz="6" w:space="0" w:color="auto"/>
              <w:left w:val="threeDEmboss" w:sz="6" w:space="0" w:color="auto"/>
              <w:bottom w:val="threeDEmboss" w:sz="6" w:space="0" w:color="auto"/>
              <w:right w:val="threeDEmboss" w:sz="6" w:space="0" w:color="auto"/>
            </w:tcBorders>
            <w:vAlign w:val="center"/>
          </w:tcPr>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sz w:val="20"/>
                <w:szCs w:val="20"/>
              </w:rPr>
              <w:t>POD 61 - 90</w:t>
            </w:r>
          </w:p>
        </w:tc>
        <w:tc>
          <w:tcPr>
            <w:tcW w:w="4785" w:type="dxa"/>
            <w:tcBorders>
              <w:top w:val="threeDEmboss" w:sz="6" w:space="0" w:color="auto"/>
              <w:left w:val="threeDEmboss" w:sz="6" w:space="0" w:color="auto"/>
              <w:bottom w:val="threeDEmboss" w:sz="6" w:space="0" w:color="auto"/>
              <w:right w:val="threeDEmboss" w:sz="6" w:space="0" w:color="auto"/>
            </w:tcBorders>
            <w:vAlign w:val="center"/>
          </w:tcPr>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sz w:val="20"/>
                <w:szCs w:val="20"/>
              </w:rPr>
              <w:t xml:space="preserve">5 mg IV/PO </w:t>
            </w:r>
            <w:proofErr w:type="spellStart"/>
            <w:r w:rsidRPr="00141E94">
              <w:rPr>
                <w:rFonts w:ascii="Times New Roman" w:hAnsi="Times New Roman"/>
                <w:sz w:val="20"/>
                <w:szCs w:val="20"/>
              </w:rPr>
              <w:t>qday</w:t>
            </w:r>
            <w:proofErr w:type="spellEnd"/>
          </w:p>
        </w:tc>
      </w:tr>
    </w:tbl>
    <w:p w:rsidR="00141E94" w:rsidRPr="00141E94" w:rsidRDefault="00141E94" w:rsidP="00141E94">
      <w:pPr>
        <w:autoSpaceDE w:val="0"/>
        <w:autoSpaceDN w:val="0"/>
        <w:adjustRightInd w:val="0"/>
        <w:spacing w:before="100" w:after="100"/>
        <w:ind w:left="3960"/>
        <w:rPr>
          <w:rFonts w:ascii="Times New Roman" w:hAnsi="Times New Roman"/>
          <w:sz w:val="20"/>
          <w:szCs w:val="20"/>
        </w:rPr>
      </w:pPr>
      <w:r w:rsidRPr="00141E94">
        <w:rPr>
          <w:rFonts w:ascii="Times New Roman" w:hAnsi="Times New Roman"/>
          <w:sz w:val="20"/>
          <w:szCs w:val="20"/>
        </w:rPr>
        <w:t>b. Patients are to be weaned off steroids based on their primary disease and freedom from rejection. Weaning of steroids is based entirely on clinical presentation of patients. Patients with autoimmune diseases which include autoimmune hepatitis (AIH), may not benefit from steroid weans and may be maintained on 10mg of prednisone daily.</w:t>
      </w:r>
      <w:r w:rsidRPr="00141E94">
        <w:rPr>
          <w:rFonts w:ascii="Times New Roman" w:hAnsi="Times New Roman"/>
          <w:sz w:val="20"/>
          <w:szCs w:val="20"/>
        </w:rPr>
        <w:br/>
        <w:t>c. All patients on a steroid taper at discharge will receive a copy of their taper regimen, including dose and date of dosage change to help promote adherence to the protocol.</w:t>
      </w:r>
    </w:p>
    <w:p w:rsidR="00141E94" w:rsidRPr="00141E94" w:rsidRDefault="00141E94" w:rsidP="00141E94">
      <w:pPr>
        <w:autoSpaceDE w:val="0"/>
        <w:autoSpaceDN w:val="0"/>
        <w:adjustRightInd w:val="0"/>
        <w:spacing w:before="100" w:after="100"/>
        <w:ind w:left="1440"/>
        <w:rPr>
          <w:rFonts w:ascii="Times New Roman" w:hAnsi="Times New Roman"/>
          <w:sz w:val="20"/>
          <w:szCs w:val="20"/>
        </w:rPr>
      </w:pPr>
      <w:r w:rsidRPr="00141E94">
        <w:rPr>
          <w:rFonts w:ascii="Times New Roman" w:hAnsi="Times New Roman"/>
          <w:sz w:val="20"/>
          <w:szCs w:val="20"/>
        </w:rPr>
        <w:t xml:space="preserve">III. </w:t>
      </w:r>
      <w:proofErr w:type="spellStart"/>
      <w:r w:rsidRPr="00141E94">
        <w:rPr>
          <w:rFonts w:ascii="Times New Roman" w:hAnsi="Times New Roman"/>
          <w:sz w:val="20"/>
          <w:szCs w:val="20"/>
        </w:rPr>
        <w:t>Tacrolimus</w:t>
      </w:r>
      <w:proofErr w:type="spellEnd"/>
      <w:r w:rsidRPr="00141E94">
        <w:rPr>
          <w:rFonts w:ascii="Times New Roman" w:hAnsi="Times New Roman"/>
          <w:sz w:val="20"/>
          <w:szCs w:val="20"/>
        </w:rPr>
        <w:t xml:space="preserve"> (</w:t>
      </w:r>
      <w:proofErr w:type="spellStart"/>
      <w:r w:rsidRPr="00141E94">
        <w:rPr>
          <w:rFonts w:ascii="Times New Roman" w:hAnsi="Times New Roman"/>
          <w:sz w:val="20"/>
          <w:szCs w:val="20"/>
        </w:rPr>
        <w:t>Prograf</w:t>
      </w:r>
      <w:proofErr w:type="spellEnd"/>
      <w:r w:rsidRPr="00141E94">
        <w:rPr>
          <w:rFonts w:ascii="Times New Roman" w:hAnsi="Times New Roman"/>
          <w:sz w:val="20"/>
          <w:szCs w:val="20"/>
        </w:rPr>
        <w:t xml:space="preserve">) </w:t>
      </w:r>
    </w:p>
    <w:p w:rsidR="00141E94" w:rsidRPr="00141E94" w:rsidRDefault="00141E94" w:rsidP="00141E94">
      <w:pPr>
        <w:autoSpaceDE w:val="0"/>
        <w:autoSpaceDN w:val="0"/>
        <w:adjustRightInd w:val="0"/>
        <w:spacing w:before="100" w:after="100"/>
        <w:ind w:left="3960"/>
        <w:rPr>
          <w:rFonts w:ascii="Times New Roman" w:hAnsi="Times New Roman"/>
          <w:sz w:val="20"/>
          <w:szCs w:val="20"/>
        </w:rPr>
      </w:pPr>
      <w:r w:rsidRPr="00141E94">
        <w:rPr>
          <w:rFonts w:ascii="Times New Roman" w:hAnsi="Times New Roman"/>
          <w:sz w:val="20"/>
          <w:szCs w:val="20"/>
        </w:rPr>
        <w:t xml:space="preserve">a. Oral </w:t>
      </w:r>
      <w:proofErr w:type="spellStart"/>
      <w:r w:rsidRPr="00141E94">
        <w:rPr>
          <w:rFonts w:ascii="Times New Roman" w:hAnsi="Times New Roman"/>
          <w:sz w:val="20"/>
          <w:szCs w:val="20"/>
        </w:rPr>
        <w:t>tacrolimus</w:t>
      </w:r>
      <w:proofErr w:type="spellEnd"/>
      <w:r w:rsidRPr="00141E94">
        <w:rPr>
          <w:rFonts w:ascii="Times New Roman" w:hAnsi="Times New Roman"/>
          <w:sz w:val="20"/>
          <w:szCs w:val="20"/>
        </w:rPr>
        <w:t xml:space="preserve"> will be started after transplantation when renal function has stabilized. Usual dose range is 0.025-0.05 mg/kg q12hr for adults to achieve whole blood trough </w:t>
      </w:r>
      <w:proofErr w:type="spellStart"/>
      <w:r w:rsidRPr="00141E94">
        <w:rPr>
          <w:rFonts w:ascii="Times New Roman" w:hAnsi="Times New Roman"/>
          <w:sz w:val="20"/>
          <w:szCs w:val="20"/>
        </w:rPr>
        <w:t>Imx</w:t>
      </w:r>
      <w:proofErr w:type="spellEnd"/>
      <w:r w:rsidRPr="00141E94">
        <w:rPr>
          <w:rFonts w:ascii="Times New Roman" w:hAnsi="Times New Roman"/>
          <w:sz w:val="20"/>
          <w:szCs w:val="20"/>
        </w:rPr>
        <w:t xml:space="preserve"> levels of 8-12 ng/ml throughout the first month post-transplant. </w:t>
      </w:r>
      <w:r w:rsidRPr="00141E94">
        <w:rPr>
          <w:rFonts w:ascii="Times New Roman" w:hAnsi="Times New Roman"/>
          <w:sz w:val="20"/>
          <w:szCs w:val="20"/>
        </w:rPr>
        <w:br/>
        <w:t xml:space="preserve">b. </w:t>
      </w:r>
      <w:proofErr w:type="spellStart"/>
      <w:r w:rsidRPr="00141E94">
        <w:rPr>
          <w:rFonts w:ascii="Times New Roman" w:hAnsi="Times New Roman"/>
          <w:sz w:val="20"/>
          <w:szCs w:val="20"/>
        </w:rPr>
        <w:t>Tacrolimus</w:t>
      </w:r>
      <w:proofErr w:type="spellEnd"/>
      <w:r w:rsidRPr="00141E94">
        <w:rPr>
          <w:rFonts w:ascii="Times New Roman" w:hAnsi="Times New Roman"/>
          <w:sz w:val="20"/>
          <w:szCs w:val="20"/>
        </w:rPr>
        <w:t xml:space="preserve"> dosage should be decreased in the presence of adverse events as clinically warranted. Dosage adjustments should be balanced between severity and timing of rejection episodes in relation to date of transplant. Please refer to the “outpatient immunosuppressive protocol in liver transplantation” for recommendations.</w:t>
      </w:r>
    </w:p>
    <w:p w:rsidR="00141E94" w:rsidRPr="00141E94" w:rsidRDefault="00141E94" w:rsidP="00141E94">
      <w:pPr>
        <w:autoSpaceDE w:val="0"/>
        <w:autoSpaceDN w:val="0"/>
        <w:adjustRightInd w:val="0"/>
        <w:spacing w:before="100" w:after="100"/>
        <w:ind w:left="1440"/>
        <w:rPr>
          <w:rFonts w:ascii="Times New Roman" w:hAnsi="Times New Roman"/>
          <w:sz w:val="20"/>
          <w:szCs w:val="20"/>
        </w:rPr>
      </w:pPr>
      <w:r w:rsidRPr="00141E94">
        <w:rPr>
          <w:rFonts w:ascii="Times New Roman" w:hAnsi="Times New Roman"/>
          <w:sz w:val="20"/>
          <w:szCs w:val="20"/>
        </w:rPr>
        <w:t>IV. Cyclosporine (</w:t>
      </w:r>
      <w:proofErr w:type="spellStart"/>
      <w:r w:rsidRPr="00141E94">
        <w:rPr>
          <w:rFonts w:ascii="Times New Roman" w:hAnsi="Times New Roman"/>
          <w:sz w:val="20"/>
          <w:szCs w:val="20"/>
        </w:rPr>
        <w:t>Gengraf</w:t>
      </w:r>
      <w:proofErr w:type="spellEnd"/>
      <w:r w:rsidRPr="00141E94">
        <w:rPr>
          <w:rFonts w:ascii="Times New Roman" w:hAnsi="Times New Roman"/>
          <w:sz w:val="20"/>
          <w:szCs w:val="20"/>
        </w:rPr>
        <w:t xml:space="preserve">) </w:t>
      </w:r>
    </w:p>
    <w:p w:rsidR="00141E94" w:rsidRPr="00141E94" w:rsidRDefault="00141E94" w:rsidP="00141E94">
      <w:pPr>
        <w:autoSpaceDE w:val="0"/>
        <w:autoSpaceDN w:val="0"/>
        <w:adjustRightInd w:val="0"/>
        <w:spacing w:before="100" w:after="100"/>
        <w:ind w:left="3960"/>
        <w:rPr>
          <w:rFonts w:ascii="Times New Roman" w:hAnsi="Times New Roman"/>
          <w:sz w:val="20"/>
          <w:szCs w:val="20"/>
        </w:rPr>
      </w:pPr>
      <w:r w:rsidRPr="00141E94">
        <w:rPr>
          <w:rFonts w:ascii="Times New Roman" w:hAnsi="Times New Roman"/>
          <w:sz w:val="20"/>
          <w:szCs w:val="20"/>
        </w:rPr>
        <w:t>General dosing recommendations for cyclosporine (</w:t>
      </w:r>
      <w:proofErr w:type="spellStart"/>
      <w:r w:rsidRPr="00141E94">
        <w:rPr>
          <w:rFonts w:ascii="Times New Roman" w:hAnsi="Times New Roman"/>
          <w:sz w:val="20"/>
          <w:szCs w:val="20"/>
        </w:rPr>
        <w:t>Gengraf</w:t>
      </w:r>
      <w:proofErr w:type="spellEnd"/>
      <w:r w:rsidRPr="00141E94">
        <w:rPr>
          <w:rFonts w:ascii="Times New Roman" w:hAnsi="Times New Roman"/>
          <w:sz w:val="20"/>
          <w:szCs w:val="20"/>
        </w:rPr>
        <w:t>) is to initiate at 7mg/kg/day in two divided doses to target initial trough levels of 150-180 ng/ml utilizing RIA assay within the first 6 weeks post-transplant. Doses should be individualized for the patient.</w:t>
      </w:r>
      <w:r w:rsidRPr="00141E94">
        <w:rPr>
          <w:rFonts w:ascii="Times New Roman" w:hAnsi="Times New Roman"/>
          <w:sz w:val="20"/>
          <w:szCs w:val="20"/>
        </w:rPr>
        <w:br/>
        <w:t xml:space="preserve">Cyclosporine may be considered for patients unable to tolerate </w:t>
      </w:r>
      <w:proofErr w:type="spellStart"/>
      <w:r w:rsidRPr="00141E94">
        <w:rPr>
          <w:rFonts w:ascii="Times New Roman" w:hAnsi="Times New Roman"/>
          <w:sz w:val="20"/>
          <w:szCs w:val="20"/>
        </w:rPr>
        <w:t>tacrolimus</w:t>
      </w:r>
      <w:proofErr w:type="spellEnd"/>
      <w:r w:rsidRPr="00141E94">
        <w:rPr>
          <w:rFonts w:ascii="Times New Roman" w:hAnsi="Times New Roman"/>
          <w:sz w:val="20"/>
          <w:szCs w:val="20"/>
        </w:rPr>
        <w:t xml:space="preserve"> (</w:t>
      </w:r>
      <w:proofErr w:type="spellStart"/>
      <w:r w:rsidRPr="00141E94">
        <w:rPr>
          <w:rFonts w:ascii="Times New Roman" w:hAnsi="Times New Roman"/>
          <w:sz w:val="20"/>
          <w:szCs w:val="20"/>
        </w:rPr>
        <w:t>Prograf</w:t>
      </w:r>
      <w:proofErr w:type="spellEnd"/>
      <w:r w:rsidRPr="00141E94">
        <w:rPr>
          <w:rFonts w:ascii="Times New Roman" w:hAnsi="Times New Roman"/>
          <w:sz w:val="20"/>
          <w:szCs w:val="20"/>
        </w:rPr>
        <w:t>) due to neurological or other side effects.</w:t>
      </w:r>
    </w:p>
    <w:p w:rsidR="00141E94" w:rsidRPr="00141E94" w:rsidRDefault="00141E94" w:rsidP="00141E94">
      <w:pPr>
        <w:autoSpaceDE w:val="0"/>
        <w:autoSpaceDN w:val="0"/>
        <w:adjustRightInd w:val="0"/>
        <w:spacing w:before="100" w:after="100"/>
        <w:ind w:left="1440"/>
        <w:rPr>
          <w:rFonts w:ascii="Times New Roman" w:hAnsi="Times New Roman"/>
          <w:sz w:val="20"/>
          <w:szCs w:val="20"/>
        </w:rPr>
      </w:pPr>
      <w:r w:rsidRPr="00141E94">
        <w:rPr>
          <w:rFonts w:ascii="Times New Roman" w:hAnsi="Times New Roman"/>
          <w:sz w:val="20"/>
          <w:szCs w:val="20"/>
        </w:rPr>
        <w:t xml:space="preserve">V. </w:t>
      </w:r>
      <w:proofErr w:type="spellStart"/>
      <w:r w:rsidRPr="00141E94">
        <w:rPr>
          <w:rFonts w:ascii="Times New Roman" w:hAnsi="Times New Roman"/>
          <w:sz w:val="20"/>
          <w:szCs w:val="20"/>
        </w:rPr>
        <w:t>Sirolimus</w:t>
      </w:r>
      <w:proofErr w:type="spellEnd"/>
      <w:r w:rsidRPr="00141E94">
        <w:rPr>
          <w:rFonts w:ascii="Times New Roman" w:hAnsi="Times New Roman"/>
          <w:sz w:val="20"/>
          <w:szCs w:val="20"/>
        </w:rPr>
        <w:t xml:space="preserve"> (</w:t>
      </w:r>
      <w:proofErr w:type="spellStart"/>
      <w:r w:rsidRPr="00141E94">
        <w:rPr>
          <w:rFonts w:ascii="Times New Roman" w:hAnsi="Times New Roman"/>
          <w:sz w:val="20"/>
          <w:szCs w:val="20"/>
        </w:rPr>
        <w:t>Rapamune</w:t>
      </w:r>
      <w:proofErr w:type="spellEnd"/>
      <w:r w:rsidRPr="00141E94">
        <w:rPr>
          <w:rFonts w:ascii="Times New Roman" w:hAnsi="Times New Roman"/>
          <w:sz w:val="20"/>
          <w:szCs w:val="20"/>
        </w:rPr>
        <w:t xml:space="preserve">) </w:t>
      </w:r>
    </w:p>
    <w:p w:rsidR="00141E94" w:rsidRPr="00141E94" w:rsidRDefault="00141E94" w:rsidP="00141E94">
      <w:pPr>
        <w:autoSpaceDE w:val="0"/>
        <w:autoSpaceDN w:val="0"/>
        <w:adjustRightInd w:val="0"/>
        <w:spacing w:before="100" w:after="100"/>
        <w:ind w:left="3960"/>
        <w:rPr>
          <w:rFonts w:ascii="Times New Roman" w:hAnsi="Times New Roman"/>
          <w:sz w:val="20"/>
          <w:szCs w:val="20"/>
        </w:rPr>
      </w:pPr>
      <w:r w:rsidRPr="00141E94">
        <w:rPr>
          <w:rFonts w:ascii="Times New Roman" w:hAnsi="Times New Roman"/>
          <w:sz w:val="20"/>
          <w:szCs w:val="20"/>
        </w:rPr>
        <w:t xml:space="preserve">a. </w:t>
      </w:r>
      <w:proofErr w:type="spellStart"/>
      <w:r w:rsidRPr="00141E94">
        <w:rPr>
          <w:rFonts w:ascii="Times New Roman" w:hAnsi="Times New Roman"/>
          <w:sz w:val="20"/>
          <w:szCs w:val="20"/>
        </w:rPr>
        <w:t>Sirolimus</w:t>
      </w:r>
      <w:proofErr w:type="spellEnd"/>
      <w:r w:rsidRPr="00141E94">
        <w:rPr>
          <w:rFonts w:ascii="Times New Roman" w:hAnsi="Times New Roman"/>
          <w:sz w:val="20"/>
          <w:szCs w:val="20"/>
        </w:rPr>
        <w:t xml:space="preserve"> should be avoided in the first 21 days (until after staple removal and wound is healed) post-transplant due to the potential risk of delayed wound healing and hepatic artery thrombosis. Please refer to the renal sparing protocol for more information regarding </w:t>
      </w:r>
      <w:proofErr w:type="spellStart"/>
      <w:r w:rsidRPr="00141E94">
        <w:rPr>
          <w:rFonts w:ascii="Times New Roman" w:hAnsi="Times New Roman"/>
          <w:sz w:val="20"/>
          <w:szCs w:val="20"/>
        </w:rPr>
        <w:t>sirolimus</w:t>
      </w:r>
      <w:proofErr w:type="spellEnd"/>
      <w:r w:rsidRPr="00141E94">
        <w:rPr>
          <w:rFonts w:ascii="Times New Roman" w:hAnsi="Times New Roman"/>
          <w:sz w:val="20"/>
          <w:szCs w:val="20"/>
        </w:rPr>
        <w:t>.</w:t>
      </w:r>
    </w:p>
    <w:p w:rsidR="00141E94" w:rsidRPr="00141E94" w:rsidRDefault="00141E94" w:rsidP="00141E94">
      <w:pPr>
        <w:autoSpaceDE w:val="0"/>
        <w:autoSpaceDN w:val="0"/>
        <w:adjustRightInd w:val="0"/>
        <w:spacing w:before="100" w:after="100"/>
        <w:ind w:left="2880"/>
        <w:rPr>
          <w:rFonts w:ascii="Times New Roman" w:hAnsi="Times New Roman"/>
          <w:sz w:val="20"/>
          <w:szCs w:val="20"/>
        </w:rPr>
      </w:pPr>
      <w:r w:rsidRPr="00141E94">
        <w:rPr>
          <w:rFonts w:ascii="Times New Roman" w:hAnsi="Times New Roman"/>
          <w:sz w:val="20"/>
          <w:szCs w:val="20"/>
        </w:rPr>
        <w:t xml:space="preserve">VI. </w:t>
      </w:r>
      <w:proofErr w:type="spellStart"/>
      <w:r w:rsidRPr="00141E94">
        <w:rPr>
          <w:rFonts w:ascii="Times New Roman" w:hAnsi="Times New Roman"/>
          <w:sz w:val="20"/>
          <w:szCs w:val="20"/>
        </w:rPr>
        <w:t>Everolimus</w:t>
      </w:r>
      <w:proofErr w:type="spellEnd"/>
      <w:r w:rsidRPr="00141E94">
        <w:rPr>
          <w:rFonts w:ascii="Times New Roman" w:hAnsi="Times New Roman"/>
          <w:sz w:val="20"/>
          <w:szCs w:val="20"/>
        </w:rPr>
        <w:t xml:space="preserve"> (</w:t>
      </w:r>
      <w:proofErr w:type="spellStart"/>
      <w:r w:rsidRPr="00141E94">
        <w:rPr>
          <w:rFonts w:ascii="Times New Roman" w:hAnsi="Times New Roman"/>
          <w:sz w:val="20"/>
          <w:szCs w:val="20"/>
        </w:rPr>
        <w:t>Zortress</w:t>
      </w:r>
      <w:proofErr w:type="spellEnd"/>
      <w:r w:rsidRPr="00141E94">
        <w:rPr>
          <w:rFonts w:ascii="Times New Roman" w:hAnsi="Times New Roman"/>
          <w:sz w:val="20"/>
          <w:szCs w:val="20"/>
        </w:rPr>
        <w:t xml:space="preserve">) </w:t>
      </w:r>
    </w:p>
    <w:p w:rsidR="00141E94" w:rsidRPr="00141E94" w:rsidRDefault="00141E94" w:rsidP="00141E94">
      <w:pPr>
        <w:autoSpaceDE w:val="0"/>
        <w:autoSpaceDN w:val="0"/>
        <w:adjustRightInd w:val="0"/>
        <w:spacing w:before="100" w:after="100"/>
        <w:ind w:left="3960"/>
        <w:rPr>
          <w:rFonts w:ascii="Times New Roman" w:hAnsi="Times New Roman"/>
          <w:sz w:val="20"/>
          <w:szCs w:val="20"/>
        </w:rPr>
      </w:pPr>
      <w:proofErr w:type="spellStart"/>
      <w:r w:rsidRPr="00141E94">
        <w:rPr>
          <w:rFonts w:ascii="Times New Roman" w:hAnsi="Times New Roman"/>
          <w:sz w:val="20"/>
          <w:szCs w:val="20"/>
        </w:rPr>
        <w:t>Everolimus</w:t>
      </w:r>
      <w:proofErr w:type="spellEnd"/>
      <w:r w:rsidRPr="00141E94">
        <w:rPr>
          <w:rFonts w:ascii="Times New Roman" w:hAnsi="Times New Roman"/>
          <w:sz w:val="20"/>
          <w:szCs w:val="20"/>
        </w:rPr>
        <w:t xml:space="preserve"> should be avoided in the first 21 days (until after staple removal and wound is healed) </w:t>
      </w:r>
      <w:proofErr w:type="spellStart"/>
      <w:r w:rsidRPr="00141E94">
        <w:rPr>
          <w:rFonts w:ascii="Times New Roman" w:hAnsi="Times New Roman"/>
          <w:sz w:val="20"/>
          <w:szCs w:val="20"/>
        </w:rPr>
        <w:t>post transplant</w:t>
      </w:r>
      <w:proofErr w:type="spellEnd"/>
      <w:r w:rsidRPr="00141E94">
        <w:rPr>
          <w:rFonts w:ascii="Times New Roman" w:hAnsi="Times New Roman"/>
          <w:sz w:val="20"/>
          <w:szCs w:val="20"/>
        </w:rPr>
        <w:t xml:space="preserve"> due to the potential risk of delayed would </w:t>
      </w:r>
      <w:proofErr w:type="gramStart"/>
      <w:r w:rsidRPr="00141E94">
        <w:rPr>
          <w:rFonts w:ascii="Times New Roman" w:hAnsi="Times New Roman"/>
          <w:sz w:val="20"/>
          <w:szCs w:val="20"/>
        </w:rPr>
        <w:t>healing</w:t>
      </w:r>
      <w:proofErr w:type="gramEnd"/>
      <w:r w:rsidRPr="00141E94">
        <w:rPr>
          <w:rFonts w:ascii="Times New Roman" w:hAnsi="Times New Roman"/>
          <w:sz w:val="20"/>
          <w:szCs w:val="20"/>
        </w:rPr>
        <w:t xml:space="preserve">. Please refer to the renal sparing protocol for more information regarding </w:t>
      </w:r>
      <w:proofErr w:type="spellStart"/>
      <w:r w:rsidRPr="00141E94">
        <w:rPr>
          <w:rFonts w:ascii="Times New Roman" w:hAnsi="Times New Roman"/>
          <w:sz w:val="20"/>
          <w:szCs w:val="20"/>
        </w:rPr>
        <w:t>everolimus</w:t>
      </w:r>
      <w:proofErr w:type="spellEnd"/>
      <w:r w:rsidRPr="00141E94">
        <w:rPr>
          <w:rFonts w:ascii="Times New Roman" w:hAnsi="Times New Roman"/>
          <w:sz w:val="20"/>
          <w:szCs w:val="20"/>
        </w:rPr>
        <w:t>.</w:t>
      </w:r>
    </w:p>
    <w:p w:rsidR="00141E94" w:rsidRPr="00141E94" w:rsidRDefault="00141E94" w:rsidP="00141E94">
      <w:pPr>
        <w:autoSpaceDE w:val="0"/>
        <w:autoSpaceDN w:val="0"/>
        <w:adjustRightInd w:val="0"/>
        <w:spacing w:before="100" w:after="100"/>
        <w:ind w:left="1440"/>
        <w:rPr>
          <w:rFonts w:ascii="Times New Roman" w:hAnsi="Times New Roman"/>
          <w:sz w:val="20"/>
          <w:szCs w:val="20"/>
        </w:rPr>
      </w:pPr>
      <w:r w:rsidRPr="00141E94">
        <w:rPr>
          <w:rFonts w:ascii="Times New Roman" w:hAnsi="Times New Roman"/>
          <w:sz w:val="20"/>
          <w:szCs w:val="20"/>
        </w:rPr>
        <w:t xml:space="preserve">VI. </w:t>
      </w:r>
      <w:proofErr w:type="spellStart"/>
      <w:r w:rsidRPr="00141E94">
        <w:rPr>
          <w:rFonts w:ascii="Times New Roman" w:hAnsi="Times New Roman"/>
          <w:sz w:val="20"/>
          <w:szCs w:val="20"/>
        </w:rPr>
        <w:t>Mycophenolate</w:t>
      </w:r>
      <w:proofErr w:type="spellEnd"/>
      <w:r w:rsidRPr="00141E94">
        <w:rPr>
          <w:rFonts w:ascii="Times New Roman" w:hAnsi="Times New Roman"/>
          <w:sz w:val="20"/>
          <w:szCs w:val="20"/>
        </w:rPr>
        <w:t xml:space="preserve"> </w:t>
      </w:r>
      <w:proofErr w:type="spellStart"/>
      <w:r w:rsidRPr="00141E94">
        <w:rPr>
          <w:rFonts w:ascii="Times New Roman" w:hAnsi="Times New Roman"/>
          <w:sz w:val="20"/>
          <w:szCs w:val="20"/>
        </w:rPr>
        <w:t>mofetil</w:t>
      </w:r>
      <w:proofErr w:type="spellEnd"/>
      <w:r w:rsidRPr="00141E94">
        <w:rPr>
          <w:rFonts w:ascii="Times New Roman" w:hAnsi="Times New Roman"/>
          <w:sz w:val="20"/>
          <w:szCs w:val="20"/>
        </w:rPr>
        <w:t xml:space="preserve"> (</w:t>
      </w:r>
      <w:proofErr w:type="spellStart"/>
      <w:r w:rsidRPr="00141E94">
        <w:rPr>
          <w:rFonts w:ascii="Times New Roman" w:hAnsi="Times New Roman"/>
          <w:sz w:val="20"/>
          <w:szCs w:val="20"/>
        </w:rPr>
        <w:t>CellCept</w:t>
      </w:r>
      <w:proofErr w:type="spellEnd"/>
      <w:r w:rsidRPr="00141E94">
        <w:rPr>
          <w:rFonts w:ascii="Times New Roman" w:hAnsi="Times New Roman"/>
          <w:sz w:val="20"/>
          <w:szCs w:val="20"/>
        </w:rPr>
        <w:t xml:space="preserve">) </w:t>
      </w:r>
    </w:p>
    <w:p w:rsidR="00141E94" w:rsidRPr="00141E94" w:rsidRDefault="00141E94" w:rsidP="00141E94">
      <w:pPr>
        <w:autoSpaceDE w:val="0"/>
        <w:autoSpaceDN w:val="0"/>
        <w:adjustRightInd w:val="0"/>
        <w:spacing w:before="100" w:after="100"/>
        <w:ind w:left="3960"/>
        <w:rPr>
          <w:rFonts w:ascii="Times New Roman" w:hAnsi="Times New Roman"/>
          <w:sz w:val="20"/>
          <w:szCs w:val="20"/>
        </w:rPr>
      </w:pPr>
      <w:proofErr w:type="spellStart"/>
      <w:r w:rsidRPr="00141E94">
        <w:rPr>
          <w:rFonts w:ascii="Times New Roman" w:hAnsi="Times New Roman"/>
          <w:sz w:val="20"/>
          <w:szCs w:val="20"/>
        </w:rPr>
        <w:t>Mycophenolate</w:t>
      </w:r>
      <w:proofErr w:type="spellEnd"/>
      <w:r w:rsidRPr="00141E94">
        <w:rPr>
          <w:rFonts w:ascii="Times New Roman" w:hAnsi="Times New Roman"/>
          <w:sz w:val="20"/>
          <w:szCs w:val="20"/>
        </w:rPr>
        <w:t xml:space="preserve"> </w:t>
      </w:r>
      <w:proofErr w:type="spellStart"/>
      <w:r w:rsidRPr="00141E94">
        <w:rPr>
          <w:rFonts w:ascii="Times New Roman" w:hAnsi="Times New Roman"/>
          <w:sz w:val="20"/>
          <w:szCs w:val="20"/>
        </w:rPr>
        <w:t>mofetil</w:t>
      </w:r>
      <w:proofErr w:type="spellEnd"/>
      <w:r w:rsidRPr="00141E94">
        <w:rPr>
          <w:rFonts w:ascii="Times New Roman" w:hAnsi="Times New Roman"/>
          <w:sz w:val="20"/>
          <w:szCs w:val="20"/>
        </w:rPr>
        <w:t xml:space="preserve"> (MMF) will be used as part of a dual or triple immunosuppressive regimen. MMF will be dosed at 1000 mg PO q12hr. MMF will be started within 24 hours of liver transplantation. </w:t>
      </w:r>
    </w:p>
    <w:p w:rsidR="00141E94" w:rsidRPr="00141E94" w:rsidRDefault="00141E94" w:rsidP="00141E94">
      <w:pPr>
        <w:autoSpaceDE w:val="0"/>
        <w:autoSpaceDN w:val="0"/>
        <w:adjustRightInd w:val="0"/>
        <w:spacing w:before="100" w:after="100"/>
        <w:ind w:left="3960"/>
        <w:rPr>
          <w:rFonts w:ascii="Times New Roman" w:hAnsi="Times New Roman"/>
          <w:sz w:val="20"/>
          <w:szCs w:val="20"/>
        </w:rPr>
      </w:pPr>
      <w:r w:rsidRPr="00141E94">
        <w:rPr>
          <w:rFonts w:ascii="Times New Roman" w:hAnsi="Times New Roman"/>
          <w:sz w:val="20"/>
          <w:szCs w:val="20"/>
        </w:rPr>
        <w:t xml:space="preserve">Dose reduction or discontinuation of MMF should occur if intolerance to the medication. Please refer to dosage adjustment </w:t>
      </w:r>
      <w:r w:rsidRPr="00141E94">
        <w:rPr>
          <w:rFonts w:ascii="Times New Roman" w:hAnsi="Times New Roman"/>
          <w:sz w:val="20"/>
          <w:szCs w:val="20"/>
        </w:rPr>
        <w:lastRenderedPageBreak/>
        <w:t xml:space="preserve">guidelines in “outpatient immunosuppressive protocol in liver transplantation” for specific recommendations. </w:t>
      </w:r>
    </w:p>
    <w:p w:rsidR="00141E94" w:rsidRPr="00141E94" w:rsidRDefault="00141E94" w:rsidP="00141E94">
      <w:pPr>
        <w:autoSpaceDE w:val="0"/>
        <w:autoSpaceDN w:val="0"/>
        <w:adjustRightInd w:val="0"/>
        <w:spacing w:before="100" w:after="100"/>
        <w:ind w:left="3960"/>
        <w:rPr>
          <w:rFonts w:ascii="Times New Roman" w:hAnsi="Times New Roman"/>
          <w:sz w:val="20"/>
          <w:szCs w:val="20"/>
        </w:rPr>
      </w:pPr>
      <w:r w:rsidRPr="00141E94">
        <w:rPr>
          <w:rFonts w:ascii="Times New Roman" w:hAnsi="Times New Roman"/>
          <w:sz w:val="20"/>
          <w:szCs w:val="20"/>
        </w:rPr>
        <w:t xml:space="preserve">c. Dose increases to 1500 mg PO BID may be considered in those patients that may require more immunosuppression or do not tolerate other </w:t>
      </w:r>
      <w:proofErr w:type="spellStart"/>
      <w:r w:rsidRPr="00141E94">
        <w:rPr>
          <w:rFonts w:ascii="Times New Roman" w:hAnsi="Times New Roman"/>
          <w:sz w:val="20"/>
          <w:szCs w:val="20"/>
        </w:rPr>
        <w:t>immunosuppressants</w:t>
      </w:r>
      <w:proofErr w:type="spellEnd"/>
      <w:r w:rsidRPr="00141E94">
        <w:rPr>
          <w:rFonts w:ascii="Times New Roman" w:hAnsi="Times New Roman"/>
          <w:sz w:val="20"/>
          <w:szCs w:val="20"/>
        </w:rPr>
        <w:t xml:space="preserve">. </w:t>
      </w:r>
    </w:p>
    <w:p w:rsidR="00141E94" w:rsidRPr="00141E94" w:rsidRDefault="00141E94" w:rsidP="00141E94">
      <w:pPr>
        <w:autoSpaceDE w:val="0"/>
        <w:autoSpaceDN w:val="0"/>
        <w:adjustRightInd w:val="0"/>
        <w:spacing w:before="100" w:after="100"/>
        <w:ind w:left="3960"/>
        <w:rPr>
          <w:rFonts w:ascii="Times New Roman" w:hAnsi="Times New Roman"/>
          <w:sz w:val="20"/>
          <w:szCs w:val="20"/>
        </w:rPr>
      </w:pPr>
      <w:r w:rsidRPr="00141E94">
        <w:rPr>
          <w:rFonts w:ascii="Times New Roman" w:hAnsi="Times New Roman"/>
          <w:sz w:val="20"/>
          <w:szCs w:val="20"/>
        </w:rPr>
        <w:t xml:space="preserve">Conversion from IV to PO </w:t>
      </w:r>
      <w:proofErr w:type="spellStart"/>
      <w:r w:rsidRPr="00141E94">
        <w:rPr>
          <w:rFonts w:ascii="Times New Roman" w:hAnsi="Times New Roman"/>
          <w:sz w:val="20"/>
          <w:szCs w:val="20"/>
        </w:rPr>
        <w:t>Mycophenolate</w:t>
      </w:r>
      <w:proofErr w:type="spellEnd"/>
      <w:r w:rsidRPr="00141E94">
        <w:rPr>
          <w:rFonts w:ascii="Times New Roman" w:hAnsi="Times New Roman"/>
          <w:sz w:val="20"/>
          <w:szCs w:val="20"/>
        </w:rPr>
        <w:t xml:space="preserve"> </w:t>
      </w:r>
      <w:proofErr w:type="spellStart"/>
      <w:r w:rsidRPr="00141E94">
        <w:rPr>
          <w:rFonts w:ascii="Times New Roman" w:hAnsi="Times New Roman"/>
          <w:sz w:val="20"/>
          <w:szCs w:val="20"/>
        </w:rPr>
        <w:t>mofetil</w:t>
      </w:r>
      <w:proofErr w:type="spellEnd"/>
      <w:r w:rsidRPr="00141E94">
        <w:rPr>
          <w:rFonts w:ascii="Times New Roman" w:hAnsi="Times New Roman"/>
          <w:sz w:val="20"/>
          <w:szCs w:val="20"/>
        </w:rPr>
        <w:t xml:space="preserve"> is done on a 1:1 basis (1000mg PO MMF = 1000mg IV MMF). IV should be considered when the patient is unable to tolerate PO medications.</w:t>
      </w:r>
    </w:p>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sz w:val="20"/>
          <w:szCs w:val="20"/>
          <w:u w:val="single"/>
        </w:rPr>
        <w:t>References</w:t>
      </w:r>
      <w:r w:rsidRPr="00141E94">
        <w:rPr>
          <w:rFonts w:ascii="Times New Roman" w:hAnsi="Times New Roman"/>
          <w:sz w:val="20"/>
          <w:szCs w:val="20"/>
        </w:rPr>
        <w:t xml:space="preserve">: </w:t>
      </w:r>
      <w:r w:rsidRPr="00141E94">
        <w:rPr>
          <w:rFonts w:ascii="Times New Roman" w:hAnsi="Times New Roman"/>
          <w:sz w:val="20"/>
          <w:szCs w:val="20"/>
        </w:rPr>
        <w:br/>
      </w:r>
      <w:r w:rsidRPr="00141E94">
        <w:rPr>
          <w:rFonts w:ascii="Times New Roman" w:hAnsi="Times New Roman"/>
          <w:sz w:val="20"/>
          <w:szCs w:val="20"/>
        </w:rPr>
        <w:br/>
        <w:t>Mukherjee S and Mukherjee U. A comprehensive review of immunosuppression used for liver transplantation</w:t>
      </w:r>
      <w:proofErr w:type="gramStart"/>
      <w:r w:rsidRPr="00141E94">
        <w:rPr>
          <w:rFonts w:ascii="Times New Roman" w:hAnsi="Times New Roman"/>
          <w:sz w:val="20"/>
          <w:szCs w:val="20"/>
        </w:rPr>
        <w:t>..</w:t>
      </w:r>
      <w:proofErr w:type="gramEnd"/>
      <w:r w:rsidRPr="00141E94">
        <w:rPr>
          <w:rFonts w:ascii="Times New Roman" w:hAnsi="Times New Roman"/>
          <w:sz w:val="20"/>
          <w:szCs w:val="20"/>
        </w:rPr>
        <w:t xml:space="preserve"> </w:t>
      </w:r>
      <w:proofErr w:type="gramStart"/>
      <w:r w:rsidRPr="00141E94">
        <w:rPr>
          <w:rFonts w:ascii="Times New Roman" w:hAnsi="Times New Roman"/>
          <w:sz w:val="20"/>
          <w:szCs w:val="20"/>
        </w:rPr>
        <w:t>Journal of Transplantation 2009; Article ID 701464, 20 pages, 2009.</w:t>
      </w:r>
      <w:proofErr w:type="gramEnd"/>
      <w:r w:rsidRPr="00141E94">
        <w:rPr>
          <w:rFonts w:ascii="Times New Roman" w:hAnsi="Times New Roman"/>
          <w:sz w:val="20"/>
          <w:szCs w:val="20"/>
        </w:rPr>
        <w:br/>
      </w:r>
      <w:r w:rsidRPr="00141E94">
        <w:rPr>
          <w:rFonts w:ascii="Times New Roman" w:hAnsi="Times New Roman"/>
          <w:sz w:val="20"/>
          <w:szCs w:val="20"/>
        </w:rPr>
        <w:br/>
        <w:t>Martin-</w:t>
      </w:r>
      <w:proofErr w:type="spellStart"/>
      <w:r w:rsidRPr="00141E94">
        <w:rPr>
          <w:rFonts w:ascii="Times New Roman" w:hAnsi="Times New Roman"/>
          <w:sz w:val="20"/>
          <w:szCs w:val="20"/>
        </w:rPr>
        <w:t>Mateos</w:t>
      </w:r>
      <w:proofErr w:type="spellEnd"/>
      <w:r w:rsidRPr="00141E94">
        <w:rPr>
          <w:rFonts w:ascii="Times New Roman" w:hAnsi="Times New Roman"/>
          <w:sz w:val="20"/>
          <w:szCs w:val="20"/>
        </w:rPr>
        <w:t xml:space="preserve"> RM, </w:t>
      </w:r>
      <w:proofErr w:type="spellStart"/>
      <w:r w:rsidRPr="00141E94">
        <w:rPr>
          <w:rFonts w:ascii="Times New Roman" w:hAnsi="Times New Roman"/>
          <w:sz w:val="20"/>
          <w:szCs w:val="20"/>
        </w:rPr>
        <w:t>Graus</w:t>
      </w:r>
      <w:proofErr w:type="spellEnd"/>
      <w:r w:rsidRPr="00141E94">
        <w:rPr>
          <w:rFonts w:ascii="Times New Roman" w:hAnsi="Times New Roman"/>
          <w:sz w:val="20"/>
          <w:szCs w:val="20"/>
        </w:rPr>
        <w:t xml:space="preserve"> J, </w:t>
      </w:r>
      <w:proofErr w:type="spellStart"/>
      <w:r w:rsidRPr="00141E94">
        <w:rPr>
          <w:rFonts w:ascii="Times New Roman" w:hAnsi="Times New Roman"/>
          <w:sz w:val="20"/>
          <w:szCs w:val="20"/>
        </w:rPr>
        <w:t>Albillos</w:t>
      </w:r>
      <w:proofErr w:type="spellEnd"/>
      <w:r w:rsidRPr="00141E94">
        <w:rPr>
          <w:rFonts w:ascii="Times New Roman" w:hAnsi="Times New Roman"/>
          <w:sz w:val="20"/>
          <w:szCs w:val="20"/>
        </w:rPr>
        <w:t xml:space="preserve"> A, et al. Initial immunosuppression with or without </w:t>
      </w:r>
      <w:proofErr w:type="spellStart"/>
      <w:r w:rsidRPr="00141E94">
        <w:rPr>
          <w:rFonts w:ascii="Times New Roman" w:hAnsi="Times New Roman"/>
          <w:sz w:val="20"/>
          <w:szCs w:val="20"/>
        </w:rPr>
        <w:t>basilixmab</w:t>
      </w:r>
      <w:proofErr w:type="spellEnd"/>
      <w:r w:rsidRPr="00141E94">
        <w:rPr>
          <w:rFonts w:ascii="Times New Roman" w:hAnsi="Times New Roman"/>
          <w:sz w:val="20"/>
          <w:szCs w:val="20"/>
        </w:rPr>
        <w:t>: a comparative study. Transplantation Proceedings 2012</w:t>
      </w:r>
      <w:proofErr w:type="gramStart"/>
      <w:r w:rsidRPr="00141E94">
        <w:rPr>
          <w:rFonts w:ascii="Times New Roman" w:hAnsi="Times New Roman"/>
          <w:sz w:val="20"/>
          <w:szCs w:val="20"/>
        </w:rPr>
        <w:t>;44</w:t>
      </w:r>
      <w:proofErr w:type="gramEnd"/>
      <w:r w:rsidRPr="00141E94">
        <w:rPr>
          <w:rFonts w:ascii="Times New Roman" w:hAnsi="Times New Roman"/>
          <w:sz w:val="20"/>
          <w:szCs w:val="20"/>
        </w:rPr>
        <w:t>(9): 2570-2572,</w:t>
      </w:r>
      <w:r w:rsidRPr="00141E94">
        <w:rPr>
          <w:rFonts w:ascii="Times New Roman" w:hAnsi="Times New Roman"/>
          <w:sz w:val="20"/>
          <w:szCs w:val="20"/>
        </w:rPr>
        <w:br/>
      </w:r>
      <w:r w:rsidRPr="00141E94">
        <w:rPr>
          <w:rFonts w:ascii="Times New Roman" w:hAnsi="Times New Roman"/>
          <w:sz w:val="20"/>
          <w:szCs w:val="20"/>
        </w:rPr>
        <w:br/>
      </w:r>
      <w:proofErr w:type="spellStart"/>
      <w:r w:rsidRPr="00141E94">
        <w:rPr>
          <w:rFonts w:ascii="Times New Roman" w:hAnsi="Times New Roman"/>
          <w:sz w:val="20"/>
          <w:szCs w:val="20"/>
        </w:rPr>
        <w:t>Llado</w:t>
      </w:r>
      <w:proofErr w:type="spellEnd"/>
      <w:r w:rsidRPr="00141E94">
        <w:rPr>
          <w:rFonts w:ascii="Times New Roman" w:hAnsi="Times New Roman"/>
          <w:sz w:val="20"/>
          <w:szCs w:val="20"/>
        </w:rPr>
        <w:t xml:space="preserve"> L, </w:t>
      </w:r>
      <w:proofErr w:type="spellStart"/>
      <w:r w:rsidRPr="00141E94">
        <w:rPr>
          <w:rFonts w:ascii="Times New Roman" w:hAnsi="Times New Roman"/>
          <w:sz w:val="20"/>
          <w:szCs w:val="20"/>
        </w:rPr>
        <w:t>Xiol</w:t>
      </w:r>
      <w:proofErr w:type="spellEnd"/>
      <w:r w:rsidRPr="00141E94">
        <w:rPr>
          <w:rFonts w:ascii="Times New Roman" w:hAnsi="Times New Roman"/>
          <w:sz w:val="20"/>
          <w:szCs w:val="20"/>
        </w:rPr>
        <w:t xml:space="preserve"> X, </w:t>
      </w:r>
      <w:proofErr w:type="spellStart"/>
      <w:r w:rsidRPr="00141E94">
        <w:rPr>
          <w:rFonts w:ascii="Times New Roman" w:hAnsi="Times New Roman"/>
          <w:sz w:val="20"/>
          <w:szCs w:val="20"/>
        </w:rPr>
        <w:t>Figueras</w:t>
      </w:r>
      <w:proofErr w:type="spellEnd"/>
      <w:r w:rsidRPr="00141E94">
        <w:rPr>
          <w:rFonts w:ascii="Times New Roman" w:hAnsi="Times New Roman"/>
          <w:sz w:val="20"/>
          <w:szCs w:val="20"/>
        </w:rPr>
        <w:t xml:space="preserve"> J, et al. Immunosuppression without steroids in liver transplantation is safe and reduces infection and metabolic complications: results from a prospective multicenter randomized study. </w:t>
      </w:r>
      <w:proofErr w:type="gramStart"/>
      <w:r w:rsidRPr="00141E94">
        <w:rPr>
          <w:rFonts w:ascii="Times New Roman" w:hAnsi="Times New Roman"/>
          <w:sz w:val="20"/>
          <w:szCs w:val="20"/>
        </w:rPr>
        <w:t xml:space="preserve">Journal of </w:t>
      </w:r>
      <w:proofErr w:type="spellStart"/>
      <w:r w:rsidRPr="00141E94">
        <w:rPr>
          <w:rFonts w:ascii="Times New Roman" w:hAnsi="Times New Roman"/>
          <w:sz w:val="20"/>
          <w:szCs w:val="20"/>
        </w:rPr>
        <w:t>Hepatology</w:t>
      </w:r>
      <w:proofErr w:type="spellEnd"/>
      <w:r w:rsidRPr="00141E94">
        <w:rPr>
          <w:rFonts w:ascii="Times New Roman" w:hAnsi="Times New Roman"/>
          <w:sz w:val="20"/>
          <w:szCs w:val="20"/>
        </w:rPr>
        <w:t>.</w:t>
      </w:r>
      <w:proofErr w:type="gramEnd"/>
      <w:r w:rsidRPr="00141E94">
        <w:rPr>
          <w:rFonts w:ascii="Times New Roman" w:hAnsi="Times New Roman"/>
          <w:sz w:val="20"/>
          <w:szCs w:val="20"/>
        </w:rPr>
        <w:t xml:space="preserve"> 2006; 44(4): 710-716. </w:t>
      </w:r>
    </w:p>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sz w:val="20"/>
          <w:szCs w:val="20"/>
        </w:rPr>
        <w:t xml:space="preserve">Marino IR, </w:t>
      </w:r>
      <w:proofErr w:type="spellStart"/>
      <w:r w:rsidRPr="00141E94">
        <w:rPr>
          <w:rFonts w:ascii="Times New Roman" w:hAnsi="Times New Roman"/>
          <w:sz w:val="20"/>
          <w:szCs w:val="20"/>
        </w:rPr>
        <w:t>Doria</w:t>
      </w:r>
      <w:proofErr w:type="spellEnd"/>
      <w:r w:rsidRPr="00141E94">
        <w:rPr>
          <w:rFonts w:ascii="Times New Roman" w:hAnsi="Times New Roman"/>
          <w:sz w:val="20"/>
          <w:szCs w:val="20"/>
        </w:rPr>
        <w:t xml:space="preserve"> C, Scott VL, et al. Efficacy and safety of </w:t>
      </w:r>
      <w:proofErr w:type="spellStart"/>
      <w:r w:rsidRPr="00141E94">
        <w:rPr>
          <w:rFonts w:ascii="Times New Roman" w:hAnsi="Times New Roman"/>
          <w:sz w:val="20"/>
          <w:szCs w:val="20"/>
        </w:rPr>
        <w:t>basiliximab</w:t>
      </w:r>
      <w:proofErr w:type="spellEnd"/>
      <w:r w:rsidRPr="00141E94">
        <w:rPr>
          <w:rFonts w:ascii="Times New Roman" w:hAnsi="Times New Roman"/>
          <w:sz w:val="20"/>
          <w:szCs w:val="20"/>
        </w:rPr>
        <w:t xml:space="preserve"> with a </w:t>
      </w:r>
      <w:proofErr w:type="spellStart"/>
      <w:r w:rsidRPr="00141E94">
        <w:rPr>
          <w:rFonts w:ascii="Times New Roman" w:hAnsi="Times New Roman"/>
          <w:sz w:val="20"/>
          <w:szCs w:val="20"/>
        </w:rPr>
        <w:t>tacrolimus</w:t>
      </w:r>
      <w:proofErr w:type="spellEnd"/>
      <w:r w:rsidRPr="00141E94">
        <w:rPr>
          <w:rFonts w:ascii="Times New Roman" w:hAnsi="Times New Roman"/>
          <w:sz w:val="20"/>
          <w:szCs w:val="20"/>
        </w:rPr>
        <w:t xml:space="preserve">-based regimen in liver transplant recipients. </w:t>
      </w:r>
      <w:proofErr w:type="gramStart"/>
      <w:r w:rsidRPr="00141E94">
        <w:rPr>
          <w:rFonts w:ascii="Times New Roman" w:hAnsi="Times New Roman"/>
          <w:color w:val="000080"/>
          <w:sz w:val="20"/>
          <w:szCs w:val="20"/>
        </w:rPr>
        <w:t>Transplantation</w:t>
      </w:r>
      <w:r w:rsidRPr="00141E94">
        <w:rPr>
          <w:rFonts w:ascii="Times New Roman" w:hAnsi="Times New Roman"/>
          <w:color w:val="0000FF"/>
          <w:sz w:val="20"/>
          <w:szCs w:val="20"/>
          <w:u w:val="single"/>
        </w:rPr>
        <w:t>.</w:t>
      </w:r>
      <w:proofErr w:type="gramEnd"/>
      <w:r w:rsidRPr="00141E94">
        <w:rPr>
          <w:rFonts w:ascii="Times New Roman" w:hAnsi="Times New Roman"/>
          <w:sz w:val="20"/>
          <w:szCs w:val="20"/>
        </w:rPr>
        <w:t xml:space="preserve"> 2004 Sep 27</w:t>
      </w:r>
      <w:proofErr w:type="gramStart"/>
      <w:r w:rsidRPr="00141E94">
        <w:rPr>
          <w:rFonts w:ascii="Times New Roman" w:hAnsi="Times New Roman"/>
          <w:sz w:val="20"/>
          <w:szCs w:val="20"/>
        </w:rPr>
        <w:t>;78</w:t>
      </w:r>
      <w:proofErr w:type="gramEnd"/>
      <w:r w:rsidRPr="00141E94">
        <w:rPr>
          <w:rFonts w:ascii="Times New Roman" w:hAnsi="Times New Roman"/>
          <w:sz w:val="20"/>
          <w:szCs w:val="20"/>
        </w:rPr>
        <w:t xml:space="preserve">(6):886-91 </w:t>
      </w:r>
    </w:p>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sz w:val="20"/>
          <w:szCs w:val="20"/>
        </w:rPr>
        <w:br/>
        <w:t>Approved by: Liver Transplant Leadership Group</w:t>
      </w:r>
      <w:r w:rsidRPr="00141E94">
        <w:rPr>
          <w:rFonts w:ascii="Times New Roman" w:hAnsi="Times New Roman"/>
          <w:sz w:val="20"/>
          <w:szCs w:val="20"/>
        </w:rPr>
        <w:br/>
        <w:t>Approval dates: 6/9/09, 1/24/2011, 10/30/12</w:t>
      </w:r>
      <w:r w:rsidRPr="00141E94">
        <w:rPr>
          <w:rFonts w:ascii="Times New Roman" w:hAnsi="Times New Roman"/>
          <w:sz w:val="20"/>
          <w:szCs w:val="20"/>
        </w:rPr>
        <w:br/>
        <w:t>Revision: 6/10/11 (based on other protocol changes)</w:t>
      </w:r>
      <w:r w:rsidRPr="00141E94">
        <w:rPr>
          <w:rFonts w:ascii="Times New Roman" w:hAnsi="Times New Roman"/>
          <w:sz w:val="20"/>
          <w:szCs w:val="20"/>
        </w:rPr>
        <w:br/>
      </w:r>
      <w:r w:rsidRPr="00141E94">
        <w:rPr>
          <w:rFonts w:ascii="Times New Roman" w:hAnsi="Times New Roman"/>
          <w:sz w:val="20"/>
          <w:szCs w:val="20"/>
        </w:rPr>
        <w:br/>
      </w:r>
      <w:r w:rsidRPr="00141E94">
        <w:rPr>
          <w:rFonts w:ascii="Times New Roman" w:hAnsi="Times New Roman"/>
          <w:sz w:val="20"/>
          <w:szCs w:val="20"/>
        </w:rPr>
        <w:br/>
        <w:t>__________________________________</w:t>
      </w:r>
      <w:r w:rsidRPr="00141E94">
        <w:rPr>
          <w:rFonts w:ascii="Times New Roman" w:hAnsi="Times New Roman"/>
          <w:sz w:val="20"/>
          <w:szCs w:val="20"/>
        </w:rPr>
        <w:br/>
        <w:t xml:space="preserve">Stuart J. </w:t>
      </w:r>
      <w:proofErr w:type="spellStart"/>
      <w:r w:rsidRPr="00141E94">
        <w:rPr>
          <w:rFonts w:ascii="Times New Roman" w:hAnsi="Times New Roman"/>
          <w:sz w:val="20"/>
          <w:szCs w:val="20"/>
        </w:rPr>
        <w:t>Knechtle</w:t>
      </w:r>
      <w:proofErr w:type="spellEnd"/>
      <w:r w:rsidRPr="00141E94">
        <w:rPr>
          <w:rFonts w:ascii="Times New Roman" w:hAnsi="Times New Roman"/>
          <w:sz w:val="20"/>
          <w:szCs w:val="20"/>
        </w:rPr>
        <w:t>, M.D.</w:t>
      </w:r>
      <w:r w:rsidRPr="00141E94">
        <w:rPr>
          <w:rFonts w:ascii="Times New Roman" w:hAnsi="Times New Roman"/>
          <w:sz w:val="20"/>
          <w:szCs w:val="20"/>
        </w:rPr>
        <w:br/>
        <w:t>Chair, Liver Transplant Leadership Group</w:t>
      </w:r>
      <w:r w:rsidRPr="00141E94">
        <w:rPr>
          <w:rFonts w:ascii="Times New Roman" w:hAnsi="Times New Roman"/>
          <w:sz w:val="20"/>
          <w:szCs w:val="20"/>
        </w:rPr>
        <w:br/>
        <w:t>Director, Liver Transplant Program</w:t>
      </w:r>
      <w:r w:rsidRPr="00141E94">
        <w:rPr>
          <w:rFonts w:ascii="Times New Roman" w:hAnsi="Times New Roman"/>
          <w:sz w:val="20"/>
          <w:szCs w:val="20"/>
        </w:rPr>
        <w:br/>
      </w:r>
      <w:r w:rsidRPr="00141E94">
        <w:rPr>
          <w:rFonts w:ascii="Times New Roman" w:hAnsi="Times New Roman"/>
          <w:sz w:val="20"/>
          <w:szCs w:val="20"/>
        </w:rPr>
        <w:br/>
      </w:r>
      <w:r w:rsidRPr="00141E94">
        <w:rPr>
          <w:rFonts w:ascii="Times New Roman" w:hAnsi="Times New Roman"/>
          <w:sz w:val="20"/>
          <w:szCs w:val="20"/>
        </w:rPr>
        <w:br/>
        <w:t xml:space="preserve">____________________________________ </w:t>
      </w:r>
      <w:r w:rsidRPr="00141E94">
        <w:rPr>
          <w:rFonts w:ascii="Times New Roman" w:hAnsi="Times New Roman"/>
          <w:sz w:val="20"/>
          <w:szCs w:val="20"/>
        </w:rPr>
        <w:br/>
        <w:t>James Spivey, MD</w:t>
      </w:r>
      <w:r w:rsidRPr="00141E94">
        <w:rPr>
          <w:rFonts w:ascii="Times New Roman" w:hAnsi="Times New Roman"/>
          <w:sz w:val="20"/>
          <w:szCs w:val="20"/>
        </w:rPr>
        <w:br/>
        <w:t xml:space="preserve">Medical Director, Liver Transplant Program </w:t>
      </w:r>
    </w:p>
    <w:tbl>
      <w:tblPr>
        <w:tblW w:w="0" w:type="auto"/>
        <w:tblLayout w:type="fixed"/>
        <w:tblCellMar>
          <w:left w:w="0" w:type="dxa"/>
          <w:right w:w="0" w:type="dxa"/>
        </w:tblCellMar>
        <w:tblLook w:val="0000" w:firstRow="0" w:lastRow="0" w:firstColumn="0" w:lastColumn="0" w:noHBand="0" w:noVBand="0"/>
      </w:tblPr>
      <w:tblGrid>
        <w:gridCol w:w="2160"/>
        <w:gridCol w:w="8280"/>
      </w:tblGrid>
      <w:tr w:rsidR="00141E94" w:rsidRPr="00141E94">
        <w:tblPrEx>
          <w:tblCellMar>
            <w:top w:w="0" w:type="dxa"/>
            <w:left w:w="0" w:type="dxa"/>
            <w:bottom w:w="0" w:type="dxa"/>
            <w:right w:w="0" w:type="dxa"/>
          </w:tblCellMar>
        </w:tblPrEx>
        <w:tc>
          <w:tcPr>
            <w:tcW w:w="2160" w:type="dxa"/>
            <w:tcBorders>
              <w:top w:val="nil"/>
              <w:left w:val="nil"/>
              <w:bottom w:val="nil"/>
              <w:right w:val="nil"/>
            </w:tcBorders>
            <w:shd w:val="clear" w:color="FFFFFF" w:fill="FFFFFF"/>
            <w:vAlign w:val="center"/>
          </w:tcPr>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b/>
                <w:bCs/>
                <w:sz w:val="20"/>
                <w:szCs w:val="20"/>
              </w:rPr>
              <w:t>Regulatory References:</w:t>
            </w:r>
          </w:p>
        </w:tc>
        <w:tc>
          <w:tcPr>
            <w:tcW w:w="8280" w:type="dxa"/>
            <w:tcBorders>
              <w:top w:val="nil"/>
              <w:left w:val="nil"/>
              <w:bottom w:val="nil"/>
              <w:right w:val="nil"/>
            </w:tcBorders>
            <w:shd w:val="clear" w:color="FFFFFF" w:fill="FFFFFF"/>
            <w:vAlign w:val="center"/>
          </w:tcPr>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noProof/>
                <w:sz w:val="20"/>
                <w:szCs w:val="20"/>
              </w:rPr>
              <w:drawing>
                <wp:inline distT="0" distB="0" distL="0" distR="0" wp14:anchorId="0357572C" wp14:editId="48B7DA8C">
                  <wp:extent cx="142875" cy="171450"/>
                  <wp:effectExtent l="0" t="0" r="9525" b="0"/>
                  <wp:docPr id="1" name="Picture 1" descr="/ehc/transplantpolicies.nsf/83ed6526aa87e46985256b8e0058ef5b/02f67c844207830485257d0000572f8f/Scope/0.2086?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c/transplantpolicies.nsf/83ed6526aa87e46985256b8e0058ef5b/02f67c844207830485257d0000572f8f/Scope/0.2086?OpenElement&amp;FieldElemFormat=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p>
        </w:tc>
      </w:tr>
    </w:tbl>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b/>
          <w:bCs/>
          <w:sz w:val="20"/>
          <w:szCs w:val="20"/>
        </w:rPr>
        <w:t>Related Policies/Procedures:</w:t>
      </w:r>
      <w:r w:rsidRPr="00141E94">
        <w:rPr>
          <w:rFonts w:ascii="Times New Roman" w:hAnsi="Times New Roman"/>
          <w:b/>
          <w:bCs/>
          <w:color w:val="000080"/>
          <w:sz w:val="20"/>
          <w:szCs w:val="20"/>
        </w:rPr>
        <w:t xml:space="preserve"> </w:t>
      </w:r>
      <w:r w:rsidRPr="00141E94">
        <w:rPr>
          <w:rFonts w:ascii="Times New Roman" w:hAnsi="Times New Roman"/>
          <w:sz w:val="20"/>
          <w:szCs w:val="20"/>
        </w:rPr>
        <w:br/>
      </w:r>
      <w:r w:rsidRPr="00141E94">
        <w:rPr>
          <w:rFonts w:ascii="Times New Roman" w:hAnsi="Times New Roman"/>
          <w:sz w:val="20"/>
          <w:szCs w:val="20"/>
        </w:rPr>
        <w:br/>
        <w:t>renal sparing protocol, pathway</w:t>
      </w:r>
      <w:r w:rsidRPr="00141E94">
        <w:rPr>
          <w:rFonts w:ascii="Times New Roman" w:hAnsi="Times New Roman"/>
          <w:sz w:val="20"/>
          <w:szCs w:val="20"/>
        </w:rPr>
        <w:br/>
      </w:r>
      <w:r w:rsidRPr="00141E94">
        <w:rPr>
          <w:rFonts w:ascii="Times New Roman" w:hAnsi="Times New Roman"/>
          <w:sz w:val="20"/>
          <w:szCs w:val="20"/>
        </w:rPr>
        <w:br/>
      </w:r>
      <w:r w:rsidRPr="00141E94">
        <w:rPr>
          <w:rFonts w:ascii="Times New Roman" w:hAnsi="Times New Roman"/>
          <w:b/>
          <w:bCs/>
          <w:sz w:val="20"/>
          <w:szCs w:val="20"/>
          <w:u w:val="single"/>
        </w:rPr>
        <w:t xml:space="preserve">Approved </w:t>
      </w:r>
      <w:proofErr w:type="gramStart"/>
      <w:r w:rsidRPr="00141E94">
        <w:rPr>
          <w:rFonts w:ascii="Times New Roman" w:hAnsi="Times New Roman"/>
          <w:b/>
          <w:bCs/>
          <w:sz w:val="20"/>
          <w:szCs w:val="20"/>
          <w:u w:val="single"/>
        </w:rPr>
        <w:t>By</w:t>
      </w:r>
      <w:proofErr w:type="gramEnd"/>
      <w:r w:rsidRPr="00141E94">
        <w:rPr>
          <w:rFonts w:ascii="Times New Roman" w:hAnsi="Times New Roman"/>
          <w:sz w:val="20"/>
          <w:szCs w:val="20"/>
        </w:rPr>
        <w:br/>
      </w:r>
      <w:r w:rsidRPr="00141E94">
        <w:rPr>
          <w:rFonts w:ascii="Times New Roman" w:hAnsi="Times New Roman"/>
          <w:b/>
          <w:bCs/>
          <w:sz w:val="20"/>
          <w:szCs w:val="20"/>
        </w:rPr>
        <w:t>Transplant Leadership Group</w:t>
      </w:r>
      <w:r w:rsidRPr="00141E94">
        <w:rPr>
          <w:rFonts w:ascii="Times New Roman" w:hAnsi="Times New Roman"/>
          <w:color w:val="800000"/>
          <w:sz w:val="20"/>
          <w:szCs w:val="20"/>
        </w:rPr>
        <w:t xml:space="preserve"> </w:t>
      </w:r>
      <w:r w:rsidRPr="00141E94">
        <w:rPr>
          <w:rFonts w:ascii="Times New Roman" w:hAnsi="Times New Roman"/>
          <w:sz w:val="20"/>
          <w:szCs w:val="20"/>
        </w:rPr>
        <w:br/>
      </w:r>
      <w:r w:rsidRPr="00141E94">
        <w:rPr>
          <w:rFonts w:ascii="Times New Roman" w:hAnsi="Times New Roman"/>
          <w:sz w:val="20"/>
          <w:szCs w:val="20"/>
        </w:rPr>
        <w:br/>
      </w:r>
      <w:r w:rsidRPr="00141E94">
        <w:rPr>
          <w:rFonts w:ascii="Times New Roman" w:hAnsi="Times New Roman"/>
          <w:b/>
          <w:bCs/>
          <w:sz w:val="20"/>
          <w:szCs w:val="20"/>
        </w:rPr>
        <w:t xml:space="preserve">Key Words For Search: </w:t>
      </w:r>
      <w:r w:rsidRPr="00141E94">
        <w:rPr>
          <w:rFonts w:ascii="Times New Roman" w:hAnsi="Times New Roman"/>
          <w:sz w:val="20"/>
          <w:szCs w:val="20"/>
        </w:rPr>
        <w:t xml:space="preserve">immunosuppression, </w:t>
      </w:r>
      <w:proofErr w:type="spellStart"/>
      <w:r w:rsidRPr="00141E94">
        <w:rPr>
          <w:rFonts w:ascii="Times New Roman" w:hAnsi="Times New Roman"/>
          <w:sz w:val="20"/>
          <w:szCs w:val="20"/>
        </w:rPr>
        <w:t>basiliximab</w:t>
      </w:r>
      <w:proofErr w:type="spellEnd"/>
      <w:r w:rsidRPr="00141E94">
        <w:rPr>
          <w:rFonts w:ascii="Times New Roman" w:hAnsi="Times New Roman"/>
          <w:sz w:val="20"/>
          <w:szCs w:val="20"/>
        </w:rPr>
        <w:t xml:space="preserve"> </w:t>
      </w:r>
    </w:p>
    <w:p w:rsidR="00141E94" w:rsidRPr="00141E94" w:rsidRDefault="00141E94" w:rsidP="00141E94">
      <w:pPr>
        <w:autoSpaceDE w:val="0"/>
        <w:autoSpaceDN w:val="0"/>
        <w:adjustRightInd w:val="0"/>
        <w:spacing w:before="100" w:after="100"/>
        <w:rPr>
          <w:rFonts w:ascii="Times New Roman" w:hAnsi="Times New Roman"/>
          <w:sz w:val="20"/>
          <w:szCs w:val="20"/>
        </w:rPr>
      </w:pPr>
      <w:r w:rsidRPr="00141E94">
        <w:rPr>
          <w:rFonts w:ascii="Times New Roman" w:hAnsi="Times New Roman"/>
          <w:sz w:val="20"/>
          <w:szCs w:val="20"/>
        </w:rPr>
        <w:t xml:space="preserve">Approval dates: 12/7/2012, 6/23/2014 </w:t>
      </w:r>
    </w:p>
    <w:p w:rsidR="00D35E10" w:rsidRPr="00141E94" w:rsidRDefault="00D35E10">
      <w:pPr>
        <w:rPr>
          <w:sz w:val="20"/>
          <w:szCs w:val="20"/>
        </w:rPr>
      </w:pPr>
    </w:p>
    <w:sectPr w:rsidR="00D35E10" w:rsidRPr="00141E94" w:rsidSect="0070760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94"/>
    <w:rsid w:val="00125FA6"/>
    <w:rsid w:val="00141E94"/>
    <w:rsid w:val="00D3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 w:type="paragraph" w:styleId="BalloonText">
    <w:name w:val="Balloon Text"/>
    <w:basedOn w:val="Normal"/>
    <w:link w:val="BalloonTextChar"/>
    <w:uiPriority w:val="99"/>
    <w:semiHidden/>
    <w:unhideWhenUsed/>
    <w:rsid w:val="00141E94"/>
    <w:rPr>
      <w:rFonts w:ascii="Tahoma" w:hAnsi="Tahoma" w:cs="Tahoma"/>
      <w:sz w:val="16"/>
      <w:szCs w:val="16"/>
    </w:rPr>
  </w:style>
  <w:style w:type="character" w:customStyle="1" w:styleId="BalloonTextChar">
    <w:name w:val="Balloon Text Char"/>
    <w:basedOn w:val="DefaultParagraphFont"/>
    <w:link w:val="BalloonText"/>
    <w:uiPriority w:val="99"/>
    <w:semiHidden/>
    <w:rsid w:val="00141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 w:type="paragraph" w:styleId="BalloonText">
    <w:name w:val="Balloon Text"/>
    <w:basedOn w:val="Normal"/>
    <w:link w:val="BalloonTextChar"/>
    <w:uiPriority w:val="99"/>
    <w:semiHidden/>
    <w:unhideWhenUsed/>
    <w:rsid w:val="00141E94"/>
    <w:rPr>
      <w:rFonts w:ascii="Tahoma" w:hAnsi="Tahoma" w:cs="Tahoma"/>
      <w:sz w:val="16"/>
      <w:szCs w:val="16"/>
    </w:rPr>
  </w:style>
  <w:style w:type="character" w:customStyle="1" w:styleId="BalloonTextChar">
    <w:name w:val="Balloon Text Char"/>
    <w:basedOn w:val="DefaultParagraphFont"/>
    <w:link w:val="BalloonText"/>
    <w:uiPriority w:val="99"/>
    <w:semiHidden/>
    <w:rsid w:val="00141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ehc/transplantpolicies.nsf/83ed6526aa87e46985256b8e0058ef5b/02f67c844207830485257d0000572f8f/Scope/0.2086?OpenElement&amp;FieldElemFormat=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 Kitchens</dc:creator>
  <cp:lastModifiedBy>William H. Kitchens</cp:lastModifiedBy>
  <cp:revision>1</cp:revision>
  <dcterms:created xsi:type="dcterms:W3CDTF">2014-11-06T04:33:00Z</dcterms:created>
  <dcterms:modified xsi:type="dcterms:W3CDTF">2014-11-06T04:34:00Z</dcterms:modified>
</cp:coreProperties>
</file>