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 xml:space="preserve">Policy: Liver Transplantation for </w:t>
      </w:r>
      <w:proofErr w:type="spellStart"/>
      <w:r w:rsidRPr="00393257">
        <w:rPr>
          <w:rFonts w:cstheme="minorHAnsi"/>
          <w:b/>
          <w:bCs/>
          <w:sz w:val="20"/>
          <w:szCs w:val="20"/>
        </w:rPr>
        <w:t>Hilar</w:t>
      </w:r>
      <w:proofErr w:type="spellEnd"/>
      <w:r w:rsidRPr="00393257">
        <w:rPr>
          <w:rFonts w:cstheme="minorHAnsi"/>
          <w:b/>
          <w:bCs/>
          <w:sz w:val="20"/>
          <w:szCs w:val="20"/>
        </w:rPr>
        <w:t xml:space="preserve"> </w:t>
      </w:r>
      <w:proofErr w:type="spellStart"/>
      <w:r w:rsidRPr="00393257">
        <w:rPr>
          <w:rFonts w:cstheme="minorHAnsi"/>
          <w:b/>
          <w:bCs/>
          <w:sz w:val="20"/>
          <w:szCs w:val="20"/>
        </w:rPr>
        <w:t>Cholangiocarcinoma</w:t>
      </w:r>
      <w:proofErr w:type="spellEnd"/>
      <w:r w:rsidRPr="00393257">
        <w:rPr>
          <w:rFonts w:cstheme="minorHAnsi"/>
          <w:sz w:val="20"/>
          <w:szCs w:val="20"/>
        </w:rPr>
        <w:br/>
      </w:r>
      <w:r w:rsidRPr="00393257">
        <w:rPr>
          <w:rFonts w:cstheme="minorHAnsi"/>
          <w:sz w:val="20"/>
          <w:szCs w:val="20"/>
        </w:rPr>
        <w:br/>
      </w:r>
      <w:r w:rsidRPr="00393257">
        <w:rPr>
          <w:rFonts w:cstheme="minorHAnsi"/>
          <w:b/>
          <w:bCs/>
          <w:sz w:val="20"/>
          <w:szCs w:val="20"/>
        </w:rPr>
        <w:t xml:space="preserve">Statement: Policy: Liver Transplantation for </w:t>
      </w:r>
      <w:proofErr w:type="spellStart"/>
      <w:r w:rsidRPr="00393257">
        <w:rPr>
          <w:rFonts w:cstheme="minorHAnsi"/>
          <w:b/>
          <w:bCs/>
          <w:sz w:val="20"/>
          <w:szCs w:val="20"/>
        </w:rPr>
        <w:t>Hilar</w:t>
      </w:r>
      <w:proofErr w:type="spellEnd"/>
      <w:r w:rsidRPr="00393257">
        <w:rPr>
          <w:rFonts w:cstheme="minorHAnsi"/>
          <w:b/>
          <w:bCs/>
          <w:sz w:val="20"/>
          <w:szCs w:val="20"/>
        </w:rPr>
        <w:t xml:space="preserve"> </w:t>
      </w:r>
      <w:proofErr w:type="spellStart"/>
      <w:r w:rsidRPr="00393257">
        <w:rPr>
          <w:rFonts w:cstheme="minorHAnsi"/>
          <w:b/>
          <w:bCs/>
          <w:sz w:val="20"/>
          <w:szCs w:val="20"/>
        </w:rPr>
        <w:t>Cholangiocarcinoma</w:t>
      </w:r>
      <w:proofErr w:type="spellEnd"/>
      <w:r w:rsidRPr="00393257">
        <w:rPr>
          <w:rFonts w:cstheme="minorHAnsi"/>
          <w:sz w:val="20"/>
          <w:szCs w:val="20"/>
        </w:rPr>
        <w:br/>
      </w:r>
      <w:r w:rsidRPr="00393257">
        <w:rPr>
          <w:rFonts w:cstheme="minorHAnsi"/>
          <w:sz w:val="20"/>
          <w:szCs w:val="20"/>
        </w:rPr>
        <w:br/>
      </w:r>
      <w:r w:rsidRPr="00393257">
        <w:rPr>
          <w:rFonts w:cstheme="minorHAnsi"/>
          <w:b/>
          <w:bCs/>
          <w:sz w:val="20"/>
          <w:szCs w:val="20"/>
        </w:rPr>
        <w:t xml:space="preserve">Statement: 1. Activation date: </w:t>
      </w:r>
      <w:r w:rsidRPr="00393257">
        <w:rPr>
          <w:rFonts w:cstheme="minorHAnsi"/>
          <w:sz w:val="20"/>
          <w:szCs w:val="20"/>
        </w:rPr>
        <w:t xml:space="preserve">04/01/2009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 xml:space="preserve">2. Affected Department: </w:t>
      </w:r>
      <w:r w:rsidRPr="00393257">
        <w:rPr>
          <w:rFonts w:cstheme="minorHAnsi"/>
          <w:sz w:val="20"/>
          <w:szCs w:val="20"/>
        </w:rPr>
        <w:t>Liver</w:t>
      </w:r>
      <w:r w:rsidRPr="00393257">
        <w:rPr>
          <w:rFonts w:cstheme="minorHAnsi"/>
          <w:b/>
          <w:bCs/>
          <w:sz w:val="20"/>
          <w:szCs w:val="20"/>
        </w:rPr>
        <w:t xml:space="preserve"> </w:t>
      </w:r>
      <w:r w:rsidRPr="00393257">
        <w:rPr>
          <w:rFonts w:cstheme="minorHAnsi"/>
          <w:sz w:val="20"/>
          <w:szCs w:val="20"/>
        </w:rPr>
        <w:t xml:space="preserve">Transplant Program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 xml:space="preserve">3. Vision Strategy: </w:t>
      </w:r>
      <w:r w:rsidRPr="00393257">
        <w:rPr>
          <w:rFonts w:cstheme="minorHAnsi"/>
          <w:sz w:val="20"/>
          <w:szCs w:val="20"/>
        </w:rPr>
        <w:t xml:space="preserve">Patient Care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4. Policy Statement:</w:t>
      </w:r>
      <w:r w:rsidRPr="00393257">
        <w:rPr>
          <w:rFonts w:cstheme="minorHAnsi"/>
          <w:sz w:val="20"/>
          <w:szCs w:val="20"/>
        </w:rPr>
        <w:t xml:space="preserve"> The Emory Transplant Center will evaluate any patient with a diagnosis of </w:t>
      </w:r>
      <w:proofErr w:type="spellStart"/>
      <w:r w:rsidRPr="00393257">
        <w:rPr>
          <w:rFonts w:cstheme="minorHAnsi"/>
          <w:sz w:val="20"/>
          <w:szCs w:val="20"/>
        </w:rPr>
        <w:t>hilar</w:t>
      </w:r>
      <w:proofErr w:type="spellEnd"/>
      <w:r w:rsidRPr="00393257">
        <w:rPr>
          <w:rFonts w:cstheme="minorHAnsi"/>
          <w:sz w:val="20"/>
          <w:szCs w:val="20"/>
        </w:rPr>
        <w:t xml:space="preserve"> </w:t>
      </w:r>
      <w:proofErr w:type="spellStart"/>
      <w:r w:rsidRPr="00393257">
        <w:rPr>
          <w:rFonts w:cstheme="minorHAnsi"/>
          <w:sz w:val="20"/>
          <w:szCs w:val="20"/>
        </w:rPr>
        <w:t>cholangiocarcinoma</w:t>
      </w:r>
      <w:proofErr w:type="spellEnd"/>
      <w:r w:rsidRPr="00393257">
        <w:rPr>
          <w:rFonts w:cstheme="minorHAnsi"/>
          <w:sz w:val="20"/>
          <w:szCs w:val="20"/>
        </w:rPr>
        <w:t xml:space="preserve"> for the possibility of inclusion into the Liver Transplantation Protocol for </w:t>
      </w:r>
      <w:proofErr w:type="spellStart"/>
      <w:r w:rsidRPr="00393257">
        <w:rPr>
          <w:rFonts w:cstheme="minorHAnsi"/>
          <w:sz w:val="20"/>
          <w:szCs w:val="20"/>
        </w:rPr>
        <w:t>Hilar</w:t>
      </w:r>
      <w:proofErr w:type="spellEnd"/>
      <w:r w:rsidRPr="00393257">
        <w:rPr>
          <w:rFonts w:cstheme="minorHAnsi"/>
          <w:sz w:val="20"/>
          <w:szCs w:val="20"/>
        </w:rPr>
        <w:t xml:space="preserve"> </w:t>
      </w:r>
      <w:proofErr w:type="spellStart"/>
      <w:r w:rsidRPr="00393257">
        <w:rPr>
          <w:rFonts w:cstheme="minorHAnsi"/>
          <w:sz w:val="20"/>
          <w:szCs w:val="20"/>
        </w:rPr>
        <w:t>Cholangiocarcinoma</w:t>
      </w:r>
      <w:proofErr w:type="spellEnd"/>
      <w:r w:rsidRPr="00393257">
        <w:rPr>
          <w:rFonts w:cstheme="minorHAnsi"/>
          <w:sz w:val="20"/>
          <w:szCs w:val="20"/>
        </w:rPr>
        <w:t xml:space="preserv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5. Basis</w:t>
      </w:r>
      <w:r w:rsidRPr="00393257">
        <w:rPr>
          <w:rFonts w:cstheme="minorHAnsi"/>
          <w:sz w:val="20"/>
          <w:szCs w:val="20"/>
        </w:rPr>
        <w:t xml:space="preserve">: This policy will clarify the diagnosis of </w:t>
      </w:r>
      <w:proofErr w:type="spellStart"/>
      <w:r w:rsidRPr="00393257">
        <w:rPr>
          <w:rFonts w:cstheme="minorHAnsi"/>
          <w:sz w:val="20"/>
          <w:szCs w:val="20"/>
        </w:rPr>
        <w:t>cholangiocarcinoma</w:t>
      </w:r>
      <w:proofErr w:type="spellEnd"/>
      <w:r w:rsidRPr="00393257">
        <w:rPr>
          <w:rFonts w:cstheme="minorHAnsi"/>
          <w:sz w:val="20"/>
          <w:szCs w:val="20"/>
        </w:rPr>
        <w:t xml:space="preserve">, Protocol inclusion criteria, </w:t>
      </w:r>
      <w:proofErr w:type="spellStart"/>
      <w:r w:rsidRPr="00393257">
        <w:rPr>
          <w:rFonts w:cstheme="minorHAnsi"/>
          <w:sz w:val="20"/>
          <w:szCs w:val="20"/>
        </w:rPr>
        <w:t>neoadjuvant</w:t>
      </w:r>
      <w:proofErr w:type="spellEnd"/>
      <w:r w:rsidRPr="00393257">
        <w:rPr>
          <w:rFonts w:cstheme="minorHAnsi"/>
          <w:sz w:val="20"/>
          <w:szCs w:val="20"/>
        </w:rPr>
        <w:t xml:space="preserve"> </w:t>
      </w:r>
      <w:proofErr w:type="spellStart"/>
      <w:r w:rsidRPr="00393257">
        <w:rPr>
          <w:rFonts w:cstheme="minorHAnsi"/>
          <w:sz w:val="20"/>
          <w:szCs w:val="20"/>
        </w:rPr>
        <w:t>chemoradiation</w:t>
      </w:r>
      <w:proofErr w:type="spellEnd"/>
      <w:r w:rsidRPr="00393257">
        <w:rPr>
          <w:rFonts w:cstheme="minorHAnsi"/>
          <w:sz w:val="20"/>
          <w:szCs w:val="20"/>
        </w:rPr>
        <w:t xml:space="preserve"> therapy regimen and Liver Transplantation for </w:t>
      </w:r>
      <w:proofErr w:type="spellStart"/>
      <w:r w:rsidRPr="00393257">
        <w:rPr>
          <w:rFonts w:cstheme="minorHAnsi"/>
          <w:sz w:val="20"/>
          <w:szCs w:val="20"/>
        </w:rPr>
        <w:t>cholangiocarcinoma</w:t>
      </w:r>
      <w:proofErr w:type="spellEnd"/>
      <w:r w:rsidRPr="00393257">
        <w:rPr>
          <w:rFonts w:cstheme="minorHAnsi"/>
          <w:sz w:val="20"/>
          <w:szCs w:val="20"/>
        </w:rPr>
        <w:t xml:space="preserv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6. Administrative Responsibility:</w:t>
      </w:r>
      <w:r w:rsidRPr="00393257">
        <w:rPr>
          <w:rFonts w:cstheme="minorHAnsi"/>
          <w:sz w:val="20"/>
          <w:szCs w:val="20"/>
        </w:rPr>
        <w:t xml:space="preserve"> Section heads,</w:t>
      </w:r>
      <w:bookmarkStart w:id="0" w:name="_GoBack"/>
      <w:bookmarkEnd w:id="0"/>
      <w:r w:rsidRPr="00393257">
        <w:rPr>
          <w:rFonts w:cstheme="minorHAnsi"/>
          <w:sz w:val="20"/>
          <w:szCs w:val="20"/>
        </w:rPr>
        <w:t xml:space="preserve"> physicians, practitioners, and staff are responsible for compliance with this policy.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br/>
      </w:r>
      <w:r w:rsidRPr="00393257">
        <w:rPr>
          <w:rFonts w:cstheme="minorHAnsi"/>
          <w:b/>
          <w:bCs/>
          <w:sz w:val="20"/>
          <w:szCs w:val="20"/>
        </w:rPr>
        <w:t>Scope/Procedure:</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7. Protocol:</w:t>
      </w:r>
      <w:r w:rsidRPr="00393257">
        <w:rPr>
          <w:rFonts w:cstheme="minorHAnsi"/>
          <w:sz w:val="20"/>
          <w:szCs w:val="20"/>
        </w:rPr>
        <w:t xml:space="preserv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 xml:space="preserve">Liver Transplantation for </w:t>
      </w:r>
      <w:proofErr w:type="spellStart"/>
      <w:r w:rsidRPr="00393257">
        <w:rPr>
          <w:rFonts w:cstheme="minorHAnsi"/>
          <w:b/>
          <w:bCs/>
          <w:sz w:val="20"/>
          <w:szCs w:val="20"/>
        </w:rPr>
        <w:t>Hilar</w:t>
      </w:r>
      <w:proofErr w:type="spellEnd"/>
      <w:r w:rsidRPr="00393257">
        <w:rPr>
          <w:rFonts w:cstheme="minorHAnsi"/>
          <w:b/>
          <w:bCs/>
          <w:sz w:val="20"/>
          <w:szCs w:val="20"/>
        </w:rPr>
        <w:t xml:space="preserve"> </w:t>
      </w:r>
      <w:proofErr w:type="spellStart"/>
      <w:r w:rsidRPr="00393257">
        <w:rPr>
          <w:rFonts w:cstheme="minorHAnsi"/>
          <w:b/>
          <w:bCs/>
          <w:sz w:val="20"/>
          <w:szCs w:val="20"/>
        </w:rPr>
        <w:t>Cholangiocarcinoma</w:t>
      </w:r>
      <w:proofErr w:type="spellEnd"/>
      <w:r w:rsidRPr="00393257">
        <w:rPr>
          <w:rFonts w:cstheme="minorHAnsi"/>
          <w:sz w:val="20"/>
          <w:szCs w:val="20"/>
        </w:rPr>
        <w:t xml:space="preserv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 xml:space="preserve">A. BACKGROUND </w:t>
      </w:r>
    </w:p>
    <w:p w:rsidR="00393257" w:rsidRPr="00393257" w:rsidRDefault="00393257" w:rsidP="00393257">
      <w:pPr>
        <w:autoSpaceDE w:val="0"/>
        <w:autoSpaceDN w:val="0"/>
        <w:adjustRightInd w:val="0"/>
        <w:spacing w:before="100" w:after="100"/>
        <w:rPr>
          <w:rFonts w:cstheme="minorHAnsi"/>
          <w:sz w:val="20"/>
          <w:szCs w:val="20"/>
        </w:rPr>
      </w:pPr>
      <w:proofErr w:type="spellStart"/>
      <w:r w:rsidRPr="00393257">
        <w:rPr>
          <w:rFonts w:cstheme="minorHAnsi"/>
          <w:sz w:val="20"/>
          <w:szCs w:val="20"/>
        </w:rPr>
        <w:t>Cholangiocarcinoma</w:t>
      </w:r>
      <w:proofErr w:type="spellEnd"/>
      <w:r w:rsidRPr="00393257">
        <w:rPr>
          <w:rFonts w:cstheme="minorHAnsi"/>
          <w:sz w:val="20"/>
          <w:szCs w:val="20"/>
        </w:rPr>
        <w:t xml:space="preserve"> (CCA) has been, until relatively recently, regarded as a contraindication to </w:t>
      </w:r>
      <w:proofErr w:type="spellStart"/>
      <w:r w:rsidRPr="00393257">
        <w:rPr>
          <w:rFonts w:cstheme="minorHAnsi"/>
          <w:sz w:val="20"/>
          <w:szCs w:val="20"/>
        </w:rPr>
        <w:t>orthotopic</w:t>
      </w:r>
      <w:proofErr w:type="spellEnd"/>
      <w:r w:rsidRPr="00393257">
        <w:rPr>
          <w:rFonts w:cstheme="minorHAnsi"/>
          <w:sz w:val="20"/>
          <w:szCs w:val="20"/>
        </w:rPr>
        <w:t xml:space="preserve"> liver transplantation (OLT). The initial experience in Nebraska and further expanded upon by the Mayo Clinic has permitted patients with </w:t>
      </w:r>
      <w:proofErr w:type="spellStart"/>
      <w:r w:rsidRPr="00393257">
        <w:rPr>
          <w:rFonts w:cstheme="minorHAnsi"/>
          <w:sz w:val="20"/>
          <w:szCs w:val="20"/>
        </w:rPr>
        <w:t>hilar</w:t>
      </w:r>
      <w:proofErr w:type="spellEnd"/>
      <w:r w:rsidRPr="00393257">
        <w:rPr>
          <w:rFonts w:cstheme="minorHAnsi"/>
          <w:sz w:val="20"/>
          <w:szCs w:val="20"/>
        </w:rPr>
        <w:t xml:space="preserve"> CCA to achieve a longer 5-year survival than if they were to undergo resection alone. Not all patients with </w:t>
      </w:r>
      <w:proofErr w:type="spellStart"/>
      <w:r w:rsidRPr="00393257">
        <w:rPr>
          <w:rFonts w:cstheme="minorHAnsi"/>
          <w:sz w:val="20"/>
          <w:szCs w:val="20"/>
        </w:rPr>
        <w:t>hilar</w:t>
      </w:r>
      <w:proofErr w:type="spellEnd"/>
      <w:r w:rsidRPr="00393257">
        <w:rPr>
          <w:rFonts w:cstheme="minorHAnsi"/>
          <w:sz w:val="20"/>
          <w:szCs w:val="20"/>
        </w:rPr>
        <w:t xml:space="preserve"> CCA are candidates for transplantation, however.</w:t>
      </w:r>
      <w:r w:rsidRPr="00393257">
        <w:rPr>
          <w:rFonts w:cstheme="minorHAnsi"/>
          <w:sz w:val="20"/>
          <w:szCs w:val="20"/>
        </w:rPr>
        <w:br/>
        <w:t xml:space="preserve">There are specific inclusion and exclusion criteria for patients to be considered for the </w:t>
      </w:r>
      <w:proofErr w:type="spellStart"/>
      <w:r w:rsidRPr="00393257">
        <w:rPr>
          <w:rFonts w:cstheme="minorHAnsi"/>
          <w:sz w:val="20"/>
          <w:szCs w:val="20"/>
        </w:rPr>
        <w:t>hilar</w:t>
      </w:r>
      <w:proofErr w:type="spellEnd"/>
      <w:r w:rsidRPr="00393257">
        <w:rPr>
          <w:rFonts w:cstheme="minorHAnsi"/>
          <w:sz w:val="20"/>
          <w:szCs w:val="20"/>
        </w:rPr>
        <w:t xml:space="preserve"> CCA protocol. These are outlined below. Please refer to the background info in the references section for additional information.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 xml:space="preserve">B. DIAGNOSIS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All patients being evaluated should have the following diagnostic tests performed prior to consideration for inclusion into the protocol: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1. Ca 19-9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2. ERCP with brushings for cytology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3. MR abdomen/pelvis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4. MR chest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5. EUS (endoscopic ultrasound) with </w:t>
      </w:r>
      <w:proofErr w:type="spellStart"/>
      <w:r w:rsidRPr="00393257">
        <w:rPr>
          <w:rFonts w:cstheme="minorHAnsi"/>
          <w:sz w:val="20"/>
          <w:szCs w:val="20"/>
        </w:rPr>
        <w:t>hilar</w:t>
      </w:r>
      <w:proofErr w:type="spellEnd"/>
      <w:r w:rsidRPr="00393257">
        <w:rPr>
          <w:rFonts w:cstheme="minorHAnsi"/>
          <w:sz w:val="20"/>
          <w:szCs w:val="20"/>
        </w:rPr>
        <w:t xml:space="preserve"> and celiac lymph node sampling for cytology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6. Other tests that may be considered include bone scan or PET scan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7. </w:t>
      </w:r>
      <w:proofErr w:type="gramStart"/>
      <w:r w:rsidRPr="00393257">
        <w:rPr>
          <w:rFonts w:cstheme="minorHAnsi"/>
          <w:sz w:val="20"/>
          <w:szCs w:val="20"/>
        </w:rPr>
        <w:t>biopsy</w:t>
      </w:r>
      <w:proofErr w:type="gramEnd"/>
      <w:r w:rsidRPr="00393257">
        <w:rPr>
          <w:rFonts w:cstheme="minorHAnsi"/>
          <w:sz w:val="20"/>
          <w:szCs w:val="20"/>
        </w:rPr>
        <w:t xml:space="preserve"> of the lesion ( except for those obtained via ERCP or PTC) is an absolute contraindication regardless of the modality of </w:t>
      </w:r>
      <w:proofErr w:type="spellStart"/>
      <w:r w:rsidRPr="00393257">
        <w:rPr>
          <w:rFonts w:cstheme="minorHAnsi"/>
          <w:sz w:val="20"/>
          <w:szCs w:val="20"/>
        </w:rPr>
        <w:t>biospy</w:t>
      </w:r>
      <w:proofErr w:type="spellEnd"/>
      <w:r w:rsidRPr="00393257">
        <w:rPr>
          <w:rFonts w:cstheme="minorHAnsi"/>
          <w:sz w:val="20"/>
          <w:szCs w:val="20"/>
        </w:rPr>
        <w:t xml:space="preserv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 xml:space="preserve">Diagnostic criteria consistent with a diagnosis of </w:t>
      </w:r>
      <w:proofErr w:type="spellStart"/>
      <w:r w:rsidRPr="00393257">
        <w:rPr>
          <w:rFonts w:cstheme="minorHAnsi"/>
          <w:b/>
          <w:bCs/>
          <w:sz w:val="20"/>
          <w:szCs w:val="20"/>
        </w:rPr>
        <w:t>hilar</w:t>
      </w:r>
      <w:proofErr w:type="spellEnd"/>
      <w:r w:rsidRPr="00393257">
        <w:rPr>
          <w:rFonts w:cstheme="minorHAnsi"/>
          <w:b/>
          <w:bCs/>
          <w:sz w:val="20"/>
          <w:szCs w:val="20"/>
        </w:rPr>
        <w:t xml:space="preserve"> </w:t>
      </w:r>
      <w:proofErr w:type="spellStart"/>
      <w:r w:rsidRPr="00393257">
        <w:rPr>
          <w:rFonts w:cstheme="minorHAnsi"/>
          <w:b/>
          <w:bCs/>
          <w:sz w:val="20"/>
          <w:szCs w:val="20"/>
        </w:rPr>
        <w:t>cholangiocarcinoma</w:t>
      </w:r>
      <w:proofErr w:type="spellEnd"/>
      <w:r w:rsidRPr="00393257">
        <w:rPr>
          <w:rFonts w:cstheme="minorHAnsi"/>
          <w:b/>
          <w:bCs/>
          <w:sz w:val="20"/>
          <w:szCs w:val="20"/>
        </w:rPr>
        <w:t xml:space="preserve"> include: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1. Positive transluminal biopsy for CCA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2. Positive or suspicious cytology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3. Dominant stricture with Ca 19-9 &gt;100u/ml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4. Mass lesion on MR abdomen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5. </w:t>
      </w:r>
      <w:proofErr w:type="spellStart"/>
      <w:r w:rsidRPr="00393257">
        <w:rPr>
          <w:rFonts w:cstheme="minorHAnsi"/>
          <w:sz w:val="20"/>
          <w:szCs w:val="20"/>
        </w:rPr>
        <w:t>Resectable</w:t>
      </w:r>
      <w:proofErr w:type="spellEnd"/>
      <w:r w:rsidRPr="00393257">
        <w:rPr>
          <w:rFonts w:cstheme="minorHAnsi"/>
          <w:sz w:val="20"/>
          <w:szCs w:val="20"/>
        </w:rPr>
        <w:t xml:space="preserve"> </w:t>
      </w:r>
      <w:proofErr w:type="spellStart"/>
      <w:r w:rsidRPr="00393257">
        <w:rPr>
          <w:rFonts w:cstheme="minorHAnsi"/>
          <w:sz w:val="20"/>
          <w:szCs w:val="20"/>
        </w:rPr>
        <w:t>Hilar</w:t>
      </w:r>
      <w:proofErr w:type="spellEnd"/>
      <w:r w:rsidRPr="00393257">
        <w:rPr>
          <w:rFonts w:cstheme="minorHAnsi"/>
          <w:sz w:val="20"/>
          <w:szCs w:val="20"/>
        </w:rPr>
        <w:t xml:space="preserve"> </w:t>
      </w:r>
      <w:proofErr w:type="spellStart"/>
      <w:r w:rsidRPr="00393257">
        <w:rPr>
          <w:rFonts w:cstheme="minorHAnsi"/>
          <w:sz w:val="20"/>
          <w:szCs w:val="20"/>
        </w:rPr>
        <w:t>cholangiocarcinoma</w:t>
      </w:r>
      <w:proofErr w:type="spellEnd"/>
      <w:r w:rsidRPr="00393257">
        <w:rPr>
          <w:rFonts w:cstheme="minorHAnsi"/>
          <w:sz w:val="20"/>
          <w:szCs w:val="20"/>
        </w:rPr>
        <w:t xml:space="preserve"> in the setting of primary </w:t>
      </w:r>
      <w:proofErr w:type="spellStart"/>
      <w:r w:rsidRPr="00393257">
        <w:rPr>
          <w:rFonts w:cstheme="minorHAnsi"/>
          <w:sz w:val="20"/>
          <w:szCs w:val="20"/>
        </w:rPr>
        <w:t>sclerosing</w:t>
      </w:r>
      <w:proofErr w:type="spellEnd"/>
      <w:r w:rsidRPr="00393257">
        <w:rPr>
          <w:rFonts w:cstheme="minorHAnsi"/>
          <w:sz w:val="20"/>
          <w:szCs w:val="20"/>
        </w:rPr>
        <w:t xml:space="preserve"> cholangitis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 xml:space="preserve">Indeterminate diagnostic criteria for </w:t>
      </w:r>
      <w:proofErr w:type="spellStart"/>
      <w:r w:rsidRPr="00393257">
        <w:rPr>
          <w:rFonts w:cstheme="minorHAnsi"/>
          <w:b/>
          <w:bCs/>
          <w:sz w:val="20"/>
          <w:szCs w:val="20"/>
        </w:rPr>
        <w:t>hilar</w:t>
      </w:r>
      <w:proofErr w:type="spellEnd"/>
      <w:r w:rsidRPr="00393257">
        <w:rPr>
          <w:rFonts w:cstheme="minorHAnsi"/>
          <w:b/>
          <w:bCs/>
          <w:sz w:val="20"/>
          <w:szCs w:val="20"/>
        </w:rPr>
        <w:t xml:space="preserve"> </w:t>
      </w:r>
      <w:proofErr w:type="spellStart"/>
      <w:r w:rsidRPr="00393257">
        <w:rPr>
          <w:rFonts w:cstheme="minorHAnsi"/>
          <w:b/>
          <w:bCs/>
          <w:sz w:val="20"/>
          <w:szCs w:val="20"/>
        </w:rPr>
        <w:t>cholangiocarcinoma</w:t>
      </w:r>
      <w:proofErr w:type="spellEnd"/>
      <w:r w:rsidRPr="00393257">
        <w:rPr>
          <w:rFonts w:cstheme="minorHAnsi"/>
          <w:b/>
          <w:bCs/>
          <w:sz w:val="20"/>
          <w:szCs w:val="20"/>
        </w:rPr>
        <w:t xml:space="preserve"> include: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1. Indeterminate cytology (dysplasia)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lastRenderedPageBreak/>
        <w:t xml:space="preserve">2. Dominant stricture in absence of mass, positive cytology, positive biopsy or elevated Ca 19-9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 xml:space="preserve">C. INCLUSION CRITERIA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1. Otherwise reasonable Liver Transplant candidate.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2. Must not have had previous percutaneous biopsy, </w:t>
      </w:r>
      <w:proofErr w:type="spellStart"/>
      <w:r w:rsidRPr="00393257">
        <w:rPr>
          <w:rFonts w:cstheme="minorHAnsi"/>
          <w:sz w:val="20"/>
          <w:szCs w:val="20"/>
        </w:rPr>
        <w:t>hilar</w:t>
      </w:r>
      <w:proofErr w:type="spellEnd"/>
      <w:r w:rsidRPr="00393257">
        <w:rPr>
          <w:rFonts w:cstheme="minorHAnsi"/>
          <w:sz w:val="20"/>
          <w:szCs w:val="20"/>
        </w:rPr>
        <w:t xml:space="preserve"> exploration or attempted surgical resection.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3. Macroscopic disease must be proximal to the cystic duct insertion.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4. No evidence of </w:t>
      </w:r>
      <w:proofErr w:type="spellStart"/>
      <w:r w:rsidRPr="00393257">
        <w:rPr>
          <w:rFonts w:cstheme="minorHAnsi"/>
          <w:sz w:val="20"/>
          <w:szCs w:val="20"/>
        </w:rPr>
        <w:t>extrabiliary</w:t>
      </w:r>
      <w:proofErr w:type="spellEnd"/>
      <w:r w:rsidRPr="00393257">
        <w:rPr>
          <w:rFonts w:cstheme="minorHAnsi"/>
          <w:sz w:val="20"/>
          <w:szCs w:val="20"/>
        </w:rPr>
        <w:t xml:space="preserve"> spread, including negative lymph nodes.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5. Have the diagnosis established by criteria as establish above.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D. EXCLUSION CRITERIA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1. Vascular invasion (vascular encasement is not).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2. </w:t>
      </w:r>
      <w:proofErr w:type="spellStart"/>
      <w:r w:rsidRPr="00393257">
        <w:rPr>
          <w:rFonts w:cstheme="minorHAnsi"/>
          <w:sz w:val="20"/>
          <w:szCs w:val="20"/>
        </w:rPr>
        <w:t>Extrahepatic</w:t>
      </w:r>
      <w:proofErr w:type="spellEnd"/>
      <w:r w:rsidRPr="00393257">
        <w:rPr>
          <w:rFonts w:cstheme="minorHAnsi"/>
          <w:sz w:val="20"/>
          <w:szCs w:val="20"/>
        </w:rPr>
        <w:t xml:space="preserve"> disease (including LN involvement).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3. Intrahepatic metastases.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4. Prior radiation or chemotherapy.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5. Non-</w:t>
      </w:r>
      <w:proofErr w:type="spellStart"/>
      <w:r w:rsidRPr="00393257">
        <w:rPr>
          <w:rFonts w:cstheme="minorHAnsi"/>
          <w:sz w:val="20"/>
          <w:szCs w:val="20"/>
        </w:rPr>
        <w:t>hilar</w:t>
      </w:r>
      <w:proofErr w:type="spellEnd"/>
      <w:r w:rsidRPr="00393257">
        <w:rPr>
          <w:rFonts w:cstheme="minorHAnsi"/>
          <w:sz w:val="20"/>
          <w:szCs w:val="20"/>
        </w:rPr>
        <w:t xml:space="preserve"> CCA.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6. Uncontrolled infection.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7. Tumor size &gt;3 cm in cross-sectional diameter.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8. Previous percutaneous biopsy, </w:t>
      </w:r>
      <w:proofErr w:type="spellStart"/>
      <w:r w:rsidRPr="00393257">
        <w:rPr>
          <w:rFonts w:cstheme="minorHAnsi"/>
          <w:sz w:val="20"/>
          <w:szCs w:val="20"/>
        </w:rPr>
        <w:t>hilar</w:t>
      </w:r>
      <w:proofErr w:type="spellEnd"/>
      <w:r w:rsidRPr="00393257">
        <w:rPr>
          <w:rFonts w:cstheme="minorHAnsi"/>
          <w:sz w:val="20"/>
          <w:szCs w:val="20"/>
        </w:rPr>
        <w:t xml:space="preserve"> exploration or attempted surgical resection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E. EMORY PROTOCOL ALGORITHM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Once a patient has been determined to meet the inclusion criteria, with no contraindications, then they are referred to Medical and Radiation Oncology. If they agree that the patient would tolerate therapy, the patient is then presented at Liver Transplant Selection Conference for formal approval. The patient would then initiate the </w:t>
      </w:r>
      <w:proofErr w:type="spellStart"/>
      <w:r w:rsidRPr="00393257">
        <w:rPr>
          <w:rFonts w:cstheme="minorHAnsi"/>
          <w:sz w:val="20"/>
          <w:szCs w:val="20"/>
        </w:rPr>
        <w:t>neoadjuvant</w:t>
      </w:r>
      <w:proofErr w:type="spellEnd"/>
      <w:r w:rsidRPr="00393257">
        <w:rPr>
          <w:rFonts w:cstheme="minorHAnsi"/>
          <w:sz w:val="20"/>
          <w:szCs w:val="20"/>
        </w:rPr>
        <w:t xml:space="preserve"> therapy. </w:t>
      </w:r>
    </w:p>
    <w:p w:rsidR="00393257" w:rsidRPr="00393257" w:rsidRDefault="00393257" w:rsidP="00393257">
      <w:pPr>
        <w:autoSpaceDE w:val="0"/>
        <w:autoSpaceDN w:val="0"/>
        <w:adjustRightInd w:val="0"/>
        <w:spacing w:before="100" w:after="100"/>
        <w:rPr>
          <w:rFonts w:cstheme="minorHAnsi"/>
          <w:sz w:val="20"/>
          <w:szCs w:val="20"/>
        </w:rPr>
      </w:pPr>
      <w:proofErr w:type="gramStart"/>
      <w:r w:rsidRPr="00393257">
        <w:rPr>
          <w:rFonts w:cstheme="minorHAnsi"/>
          <w:sz w:val="20"/>
          <w:szCs w:val="20"/>
        </w:rPr>
        <w:t>a</w:t>
      </w:r>
      <w:proofErr w:type="gramEnd"/>
      <w:r w:rsidRPr="00393257">
        <w:rPr>
          <w:rFonts w:cstheme="minorHAnsi"/>
          <w:sz w:val="20"/>
          <w:szCs w:val="20"/>
        </w:rPr>
        <w:t xml:space="preserve">. </w:t>
      </w:r>
      <w:proofErr w:type="spellStart"/>
      <w:r w:rsidRPr="00393257">
        <w:rPr>
          <w:rFonts w:cstheme="minorHAnsi"/>
          <w:i/>
          <w:iCs/>
          <w:sz w:val="20"/>
          <w:szCs w:val="20"/>
        </w:rPr>
        <w:t>Neoadjuvant</w:t>
      </w:r>
      <w:proofErr w:type="spellEnd"/>
      <w:r w:rsidRPr="00393257">
        <w:rPr>
          <w:rFonts w:cstheme="minorHAnsi"/>
          <w:i/>
          <w:iCs/>
          <w:sz w:val="20"/>
          <w:szCs w:val="20"/>
        </w:rPr>
        <w:t xml:space="preserve"> </w:t>
      </w:r>
      <w:proofErr w:type="spellStart"/>
      <w:r w:rsidRPr="00393257">
        <w:rPr>
          <w:rFonts w:cstheme="minorHAnsi"/>
          <w:i/>
          <w:iCs/>
          <w:sz w:val="20"/>
          <w:szCs w:val="20"/>
        </w:rPr>
        <w:t>Chemoradiation</w:t>
      </w:r>
      <w:proofErr w:type="spellEnd"/>
      <w:r w:rsidRPr="00393257">
        <w:rPr>
          <w:rFonts w:cstheme="minorHAnsi"/>
          <w:sz w:val="20"/>
          <w:szCs w:val="20"/>
        </w:rPr>
        <w:t xml:space="preserve"> </w:t>
      </w:r>
    </w:p>
    <w:p w:rsidR="00393257" w:rsidRPr="00393257" w:rsidRDefault="00393257" w:rsidP="00393257">
      <w:pPr>
        <w:autoSpaceDE w:val="0"/>
        <w:autoSpaceDN w:val="0"/>
        <w:adjustRightInd w:val="0"/>
        <w:spacing w:before="100" w:after="100"/>
        <w:ind w:left="2520"/>
        <w:rPr>
          <w:rFonts w:cstheme="minorHAnsi"/>
          <w:sz w:val="20"/>
          <w:szCs w:val="20"/>
        </w:rPr>
      </w:pPr>
      <w:r w:rsidRPr="00393257">
        <w:rPr>
          <w:rFonts w:cstheme="minorHAnsi"/>
          <w:sz w:val="20"/>
          <w:szCs w:val="20"/>
        </w:rPr>
        <w:t xml:space="preserve">4000 – 4500 </w:t>
      </w:r>
      <w:proofErr w:type="spellStart"/>
      <w:r w:rsidRPr="00393257">
        <w:rPr>
          <w:rFonts w:cstheme="minorHAnsi"/>
          <w:sz w:val="20"/>
          <w:szCs w:val="20"/>
        </w:rPr>
        <w:t>cGy</w:t>
      </w:r>
      <w:proofErr w:type="spellEnd"/>
      <w:r w:rsidRPr="00393257">
        <w:rPr>
          <w:rFonts w:cstheme="minorHAnsi"/>
          <w:sz w:val="20"/>
          <w:szCs w:val="20"/>
        </w:rPr>
        <w:t xml:space="preserve"> External Beam Radiation Therapy (EBRT), 5 days per week x 6 weeks (30 fractions) and 5-fluoruracil 500 mg/m2 </w:t>
      </w:r>
      <w:proofErr w:type="spellStart"/>
      <w:r w:rsidRPr="00393257">
        <w:rPr>
          <w:rFonts w:cstheme="minorHAnsi"/>
          <w:sz w:val="20"/>
          <w:szCs w:val="20"/>
        </w:rPr>
        <w:t>qd</w:t>
      </w:r>
      <w:proofErr w:type="spellEnd"/>
      <w:r w:rsidRPr="00393257">
        <w:rPr>
          <w:rFonts w:cstheme="minorHAnsi"/>
          <w:sz w:val="20"/>
          <w:szCs w:val="20"/>
        </w:rPr>
        <w:t xml:space="preserve"> x 3days at start of EBRT</w:t>
      </w:r>
      <w:r w:rsidRPr="00393257">
        <w:rPr>
          <w:rFonts w:cstheme="minorHAnsi"/>
          <w:sz w:val="20"/>
          <w:szCs w:val="20"/>
        </w:rPr>
        <w:br/>
        <w:t xml:space="preserve">2000 – 3000 </w:t>
      </w:r>
      <w:proofErr w:type="spellStart"/>
      <w:r w:rsidRPr="00393257">
        <w:rPr>
          <w:rFonts w:cstheme="minorHAnsi"/>
          <w:sz w:val="20"/>
          <w:szCs w:val="20"/>
        </w:rPr>
        <w:t>cGy</w:t>
      </w:r>
      <w:proofErr w:type="spellEnd"/>
      <w:r w:rsidRPr="00393257">
        <w:rPr>
          <w:rFonts w:cstheme="minorHAnsi"/>
          <w:sz w:val="20"/>
          <w:szCs w:val="20"/>
        </w:rPr>
        <w:t xml:space="preserve"> </w:t>
      </w:r>
      <w:proofErr w:type="spellStart"/>
      <w:r w:rsidRPr="00393257">
        <w:rPr>
          <w:rFonts w:cstheme="minorHAnsi"/>
          <w:sz w:val="20"/>
          <w:szCs w:val="20"/>
        </w:rPr>
        <w:t>transcatheter</w:t>
      </w:r>
      <w:proofErr w:type="spellEnd"/>
      <w:r w:rsidRPr="00393257">
        <w:rPr>
          <w:rFonts w:cstheme="minorHAnsi"/>
          <w:sz w:val="20"/>
          <w:szCs w:val="20"/>
        </w:rPr>
        <w:t xml:space="preserve"> Ir-192 wire, 2-3 weeks after completion of EBRT (performed via PTC or </w:t>
      </w:r>
      <w:proofErr w:type="spellStart"/>
      <w:r w:rsidRPr="00393257">
        <w:rPr>
          <w:rFonts w:cstheme="minorHAnsi"/>
          <w:sz w:val="20"/>
          <w:szCs w:val="20"/>
        </w:rPr>
        <w:t>nasobiliary</w:t>
      </w:r>
      <w:proofErr w:type="spellEnd"/>
      <w:r w:rsidRPr="00393257">
        <w:rPr>
          <w:rFonts w:cstheme="minorHAnsi"/>
          <w:sz w:val="20"/>
          <w:szCs w:val="20"/>
        </w:rPr>
        <w:t xml:space="preserve"> tube</w:t>
      </w:r>
      <w:proofErr w:type="gramStart"/>
      <w:r w:rsidRPr="00393257">
        <w:rPr>
          <w:rFonts w:cstheme="minorHAnsi"/>
          <w:sz w:val="20"/>
          <w:szCs w:val="20"/>
        </w:rPr>
        <w:t>)</w:t>
      </w:r>
      <w:proofErr w:type="gramEnd"/>
      <w:r w:rsidRPr="00393257">
        <w:rPr>
          <w:rFonts w:cstheme="minorHAnsi"/>
          <w:sz w:val="20"/>
          <w:szCs w:val="20"/>
        </w:rPr>
        <w:br/>
      </w:r>
      <w:proofErr w:type="spellStart"/>
      <w:r w:rsidRPr="00393257">
        <w:rPr>
          <w:rFonts w:cstheme="minorHAnsi"/>
          <w:sz w:val="20"/>
          <w:szCs w:val="20"/>
        </w:rPr>
        <w:t>Capecitabine</w:t>
      </w:r>
      <w:proofErr w:type="spellEnd"/>
      <w:r w:rsidRPr="00393257">
        <w:rPr>
          <w:rFonts w:cstheme="minorHAnsi"/>
          <w:sz w:val="20"/>
          <w:szCs w:val="20"/>
        </w:rPr>
        <w:t xml:space="preserve"> 2000 mg/m2 per day in 2 divided doses 2 out of every 3 weeks until transplant</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b. </w:t>
      </w:r>
      <w:r w:rsidRPr="00393257">
        <w:rPr>
          <w:rFonts w:cstheme="minorHAnsi"/>
          <w:i/>
          <w:iCs/>
          <w:sz w:val="20"/>
          <w:szCs w:val="20"/>
        </w:rPr>
        <w:t>Application for MELD Exception</w:t>
      </w:r>
      <w:r w:rsidRPr="00393257">
        <w:rPr>
          <w:rFonts w:cstheme="minorHAnsi"/>
          <w:sz w:val="20"/>
          <w:szCs w:val="20"/>
        </w:rPr>
        <w:t xml:space="preserve"> </w:t>
      </w:r>
    </w:p>
    <w:p w:rsidR="00393257" w:rsidRPr="00393257" w:rsidRDefault="00393257" w:rsidP="00393257">
      <w:pPr>
        <w:autoSpaceDE w:val="0"/>
        <w:autoSpaceDN w:val="0"/>
        <w:adjustRightInd w:val="0"/>
        <w:spacing w:before="100" w:after="100"/>
        <w:ind w:left="2520"/>
        <w:rPr>
          <w:rFonts w:cstheme="minorHAnsi"/>
          <w:sz w:val="20"/>
          <w:szCs w:val="20"/>
        </w:rPr>
      </w:pPr>
      <w:r w:rsidRPr="00393257">
        <w:rPr>
          <w:rFonts w:cstheme="minorHAnsi"/>
          <w:sz w:val="20"/>
          <w:szCs w:val="20"/>
        </w:rPr>
        <w:t xml:space="preserve">1. UNOS Region 3 submission required. A MELD score equivalent to HCC exception status would be requested. The board has 21 days to reach a majority decision on the MELD exception upgrade. </w:t>
      </w:r>
      <w:r w:rsidRPr="00393257">
        <w:rPr>
          <w:rFonts w:cstheme="minorHAnsi"/>
          <w:sz w:val="20"/>
          <w:szCs w:val="20"/>
        </w:rPr>
        <w:br/>
        <w:t>2. Listed CCA patients should receive a MELD upgrade every 3 months, if not transplanted, equivalent to a 10% increase in 3 month mortality (increase by 2 points q 3 months).</w:t>
      </w:r>
      <w:r w:rsidRPr="00393257">
        <w:rPr>
          <w:rFonts w:cstheme="minorHAnsi"/>
          <w:sz w:val="20"/>
          <w:szCs w:val="20"/>
        </w:rPr>
        <w:br/>
        <w:t>3. List for Liver Transplant.</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c. </w:t>
      </w:r>
      <w:r w:rsidRPr="00393257">
        <w:rPr>
          <w:rFonts w:cstheme="minorHAnsi"/>
          <w:i/>
          <w:iCs/>
          <w:sz w:val="20"/>
          <w:szCs w:val="20"/>
        </w:rPr>
        <w:t>Waitlist Monitoring</w:t>
      </w:r>
      <w:r w:rsidRPr="00393257">
        <w:rPr>
          <w:rFonts w:cstheme="minorHAnsi"/>
          <w:sz w:val="20"/>
          <w:szCs w:val="20"/>
        </w:rPr>
        <w:br/>
        <w:t>1. MR abdomen/pelvis and Ca 19-9 q 2 months while on waitlist.</w:t>
      </w:r>
      <w:r w:rsidRPr="00393257">
        <w:rPr>
          <w:rFonts w:cstheme="minorHAnsi"/>
          <w:sz w:val="20"/>
          <w:szCs w:val="20"/>
        </w:rPr>
        <w:br/>
        <w:t xml:space="preserve">2. EUS with LN q2 months while on waitlist.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d. </w:t>
      </w:r>
      <w:r w:rsidRPr="00393257">
        <w:rPr>
          <w:rFonts w:cstheme="minorHAnsi"/>
          <w:i/>
          <w:iCs/>
          <w:sz w:val="20"/>
          <w:szCs w:val="20"/>
        </w:rPr>
        <w:t>Staging laparotomy at time of organ acceptance</w:t>
      </w:r>
      <w:r w:rsidRPr="00393257">
        <w:rPr>
          <w:rFonts w:cstheme="minorHAnsi"/>
          <w:sz w:val="20"/>
          <w:szCs w:val="20"/>
        </w:rPr>
        <w:t xml:space="preserve"> thorough abdominal exploration biopsy celiac, </w:t>
      </w:r>
      <w:proofErr w:type="spellStart"/>
      <w:r w:rsidRPr="00393257">
        <w:rPr>
          <w:rFonts w:cstheme="minorHAnsi"/>
          <w:sz w:val="20"/>
          <w:szCs w:val="20"/>
        </w:rPr>
        <w:t>hilar</w:t>
      </w:r>
      <w:proofErr w:type="spellEnd"/>
      <w:r w:rsidRPr="00393257">
        <w:rPr>
          <w:rFonts w:cstheme="minorHAnsi"/>
          <w:sz w:val="20"/>
          <w:szCs w:val="20"/>
        </w:rPr>
        <w:t xml:space="preserve">, </w:t>
      </w:r>
      <w:proofErr w:type="spellStart"/>
      <w:r w:rsidRPr="00393257">
        <w:rPr>
          <w:rFonts w:cstheme="minorHAnsi"/>
          <w:sz w:val="20"/>
          <w:szCs w:val="20"/>
        </w:rPr>
        <w:t>choledochal</w:t>
      </w:r>
      <w:proofErr w:type="spellEnd"/>
      <w:r w:rsidRPr="00393257">
        <w:rPr>
          <w:rFonts w:cstheme="minorHAnsi"/>
          <w:sz w:val="20"/>
          <w:szCs w:val="20"/>
        </w:rPr>
        <w:t xml:space="preserve">, </w:t>
      </w:r>
      <w:proofErr w:type="spellStart"/>
      <w:r w:rsidRPr="00393257">
        <w:rPr>
          <w:rFonts w:cstheme="minorHAnsi"/>
          <w:sz w:val="20"/>
          <w:szCs w:val="20"/>
        </w:rPr>
        <w:t>paraduodenal</w:t>
      </w:r>
      <w:proofErr w:type="spellEnd"/>
      <w:r w:rsidRPr="00393257">
        <w:rPr>
          <w:rFonts w:cstheme="minorHAnsi"/>
          <w:sz w:val="20"/>
          <w:szCs w:val="20"/>
        </w:rPr>
        <w:t xml:space="preserve"> or other suspicious LN</w:t>
      </w:r>
      <w:r w:rsidRPr="00393257">
        <w:rPr>
          <w:rFonts w:cstheme="minorHAnsi"/>
          <w:sz w:val="20"/>
          <w:szCs w:val="20"/>
        </w:rPr>
        <w:br/>
        <w:t xml:space="preserve">examine caudate to determine whether </w:t>
      </w:r>
      <w:proofErr w:type="spellStart"/>
      <w:r w:rsidRPr="00393257">
        <w:rPr>
          <w:rFonts w:cstheme="minorHAnsi"/>
          <w:sz w:val="20"/>
          <w:szCs w:val="20"/>
        </w:rPr>
        <w:t>caval</w:t>
      </w:r>
      <w:proofErr w:type="spellEnd"/>
      <w:r w:rsidRPr="00393257">
        <w:rPr>
          <w:rFonts w:cstheme="minorHAnsi"/>
          <w:sz w:val="20"/>
          <w:szCs w:val="20"/>
        </w:rPr>
        <w:t xml:space="preserve">-sparing OLT possible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Pathology must be available to process specimens submitted. A back-up recipient must be called in for every attempted OLT for CCA. </w:t>
      </w:r>
      <w:r w:rsidRPr="00393257">
        <w:rPr>
          <w:rFonts w:cstheme="minorHAnsi"/>
          <w:sz w:val="20"/>
          <w:szCs w:val="20"/>
        </w:rPr>
        <w:br/>
      </w:r>
      <w:proofErr w:type="spellStart"/>
      <w:r w:rsidRPr="00393257">
        <w:rPr>
          <w:rFonts w:cstheme="minorHAnsi"/>
          <w:sz w:val="20"/>
          <w:szCs w:val="20"/>
        </w:rPr>
        <w:t>Extrahepatic</w:t>
      </w:r>
      <w:proofErr w:type="spellEnd"/>
      <w:r w:rsidRPr="00393257">
        <w:rPr>
          <w:rFonts w:cstheme="minorHAnsi"/>
          <w:sz w:val="20"/>
          <w:szCs w:val="20"/>
        </w:rPr>
        <w:t xml:space="preserve"> metastases, LN metastases or local extension of disease to adjacent organs or tissues precludes </w:t>
      </w:r>
      <w:r w:rsidRPr="00393257">
        <w:rPr>
          <w:rFonts w:cstheme="minorHAnsi"/>
          <w:sz w:val="20"/>
          <w:szCs w:val="20"/>
        </w:rPr>
        <w:lastRenderedPageBreak/>
        <w:t>transplantation.</w:t>
      </w:r>
      <w:r w:rsidRPr="00393257">
        <w:rPr>
          <w:rFonts w:cstheme="minorHAnsi"/>
          <w:sz w:val="20"/>
          <w:szCs w:val="20"/>
        </w:rPr>
        <w:br/>
        <w:t xml:space="preserve">Pathology must be available to process specimens submitted. A back-up recipient must be called in for every attempted OLT for CCA. </w:t>
      </w:r>
      <w:r w:rsidRPr="00393257">
        <w:rPr>
          <w:rFonts w:cstheme="minorHAnsi"/>
          <w:sz w:val="20"/>
          <w:szCs w:val="20"/>
        </w:rPr>
        <w:br/>
      </w:r>
      <w:proofErr w:type="spellStart"/>
      <w:r w:rsidRPr="00393257">
        <w:rPr>
          <w:rFonts w:cstheme="minorHAnsi"/>
          <w:sz w:val="20"/>
          <w:szCs w:val="20"/>
        </w:rPr>
        <w:t>Extrahepatic</w:t>
      </w:r>
      <w:proofErr w:type="spellEnd"/>
      <w:r w:rsidRPr="00393257">
        <w:rPr>
          <w:rFonts w:cstheme="minorHAnsi"/>
          <w:sz w:val="20"/>
          <w:szCs w:val="20"/>
        </w:rPr>
        <w:t xml:space="preserve"> metastases, LN metastases or local extension of disease to adjacent organs or tissues precludes transplantation.</w:t>
      </w:r>
      <w:r w:rsidRPr="00393257">
        <w:rPr>
          <w:rFonts w:cstheme="minorHAnsi"/>
          <w:sz w:val="20"/>
          <w:szCs w:val="20"/>
        </w:rPr>
        <w:br/>
        <w:t>The UNOS guidelines for MELD exception for patients with diseases not considered by the standard MELD formula state</w:t>
      </w:r>
      <w:proofErr w:type="gramStart"/>
      <w:r w:rsidRPr="00393257">
        <w:rPr>
          <w:rFonts w:cstheme="minorHAnsi"/>
          <w:sz w:val="20"/>
          <w:szCs w:val="20"/>
        </w:rPr>
        <w:t>:</w:t>
      </w:r>
      <w:proofErr w:type="gramEnd"/>
      <w:r w:rsidRPr="00393257">
        <w:rPr>
          <w:rFonts w:cstheme="minorHAnsi"/>
          <w:sz w:val="20"/>
          <w:szCs w:val="20"/>
        </w:rPr>
        <w:br/>
      </w:r>
      <w:r w:rsidRPr="00393257">
        <w:rPr>
          <w:rFonts w:cstheme="minorHAnsi"/>
          <w:sz w:val="20"/>
          <w:szCs w:val="20"/>
        </w:rPr>
        <w:br/>
      </w:r>
      <w:r w:rsidRPr="00393257">
        <w:rPr>
          <w:rFonts w:cstheme="minorHAnsi"/>
          <w:b/>
          <w:bCs/>
          <w:sz w:val="20"/>
          <w:szCs w:val="20"/>
        </w:rPr>
        <w:t>“</w:t>
      </w:r>
      <w:proofErr w:type="spellStart"/>
      <w:r w:rsidRPr="00393257">
        <w:rPr>
          <w:rFonts w:cstheme="minorHAnsi"/>
          <w:b/>
          <w:bCs/>
          <w:sz w:val="20"/>
          <w:szCs w:val="20"/>
        </w:rPr>
        <w:t>Cholangiocarcinoma</w:t>
      </w:r>
      <w:proofErr w:type="spellEnd"/>
      <w:r w:rsidRPr="00393257">
        <w:rPr>
          <w:rFonts w:cstheme="minorHAnsi"/>
          <w:b/>
          <w:bCs/>
          <w:sz w:val="20"/>
          <w:szCs w:val="20"/>
        </w:rPr>
        <w:t xml:space="preserve"> and Biliary Dysplasia</w:t>
      </w:r>
      <w:r w:rsidRPr="00393257">
        <w:rPr>
          <w:rFonts w:cstheme="minorHAnsi"/>
          <w:sz w:val="20"/>
          <w:szCs w:val="20"/>
        </w:rPr>
        <w:br/>
        <w:t xml:space="preserve">Recent </w:t>
      </w:r>
      <w:proofErr w:type="spellStart"/>
      <w:r w:rsidRPr="00393257">
        <w:rPr>
          <w:rFonts w:cstheme="minorHAnsi"/>
          <w:sz w:val="20"/>
          <w:szCs w:val="20"/>
        </w:rPr>
        <w:t>neoadjuvant</w:t>
      </w:r>
      <w:proofErr w:type="spellEnd"/>
      <w:r w:rsidRPr="00393257">
        <w:rPr>
          <w:rFonts w:cstheme="minorHAnsi"/>
          <w:sz w:val="20"/>
          <w:szCs w:val="20"/>
        </w:rPr>
        <w:t xml:space="preserve"> protocols that include operative staging for </w:t>
      </w:r>
      <w:proofErr w:type="spellStart"/>
      <w:r w:rsidRPr="00393257">
        <w:rPr>
          <w:rFonts w:cstheme="minorHAnsi"/>
          <w:sz w:val="20"/>
          <w:szCs w:val="20"/>
        </w:rPr>
        <w:t>cholangiocarcinoma</w:t>
      </w:r>
      <w:proofErr w:type="spellEnd"/>
      <w:r w:rsidRPr="00393257">
        <w:rPr>
          <w:rFonts w:cstheme="minorHAnsi"/>
          <w:sz w:val="20"/>
          <w:szCs w:val="20"/>
        </w:rPr>
        <w:t xml:space="preserve"> confined to the hepatic hilum have improved the previously dismal success rates for LT in patients with this condition.20 However, these results have only been achieved via rigorous application of well-designed protocols. Current evidence suggests that, for properly-selected patients with primary </w:t>
      </w:r>
      <w:proofErr w:type="spellStart"/>
      <w:r w:rsidRPr="00393257">
        <w:rPr>
          <w:rFonts w:cstheme="minorHAnsi"/>
          <w:sz w:val="20"/>
          <w:szCs w:val="20"/>
        </w:rPr>
        <w:t>sclerosing</w:t>
      </w:r>
      <w:proofErr w:type="spellEnd"/>
      <w:r w:rsidRPr="00393257">
        <w:rPr>
          <w:rFonts w:cstheme="minorHAnsi"/>
          <w:sz w:val="20"/>
          <w:szCs w:val="20"/>
        </w:rPr>
        <w:t xml:space="preserve"> cholangitis-associated </w:t>
      </w:r>
      <w:proofErr w:type="spellStart"/>
      <w:r w:rsidRPr="00393257">
        <w:rPr>
          <w:rFonts w:cstheme="minorHAnsi"/>
          <w:sz w:val="20"/>
          <w:szCs w:val="20"/>
        </w:rPr>
        <w:t>cholangiocarcinoma</w:t>
      </w:r>
      <w:proofErr w:type="spellEnd"/>
      <w:r w:rsidRPr="00393257">
        <w:rPr>
          <w:rFonts w:cstheme="minorHAnsi"/>
          <w:sz w:val="20"/>
          <w:szCs w:val="20"/>
        </w:rPr>
        <w:t xml:space="preserve"> in whom surgical resection is not possible, LT offers a reasonable chance at cure and that alternative therapies have little benefit. In addition, tumor recurrence rates are high for patients fulfilling protocol criteria who come to LT longer than 140 days after listing. Unfortunately, published reports do not describe pre-transplant</w:t>
      </w:r>
      <w:r w:rsidRPr="00393257">
        <w:rPr>
          <w:rFonts w:cstheme="minorHAnsi"/>
          <w:sz w:val="20"/>
          <w:szCs w:val="20"/>
        </w:rPr>
        <w:br/>
        <w:t xml:space="preserve">predictors of cancer recurrence other than waiting time. The results from these prospective, </w:t>
      </w:r>
      <w:proofErr w:type="spellStart"/>
      <w:r w:rsidRPr="00393257">
        <w:rPr>
          <w:rFonts w:cstheme="minorHAnsi"/>
          <w:sz w:val="20"/>
          <w:szCs w:val="20"/>
        </w:rPr>
        <w:t>neoadjuvant</w:t>
      </w:r>
      <w:proofErr w:type="spellEnd"/>
      <w:r w:rsidRPr="00393257">
        <w:rPr>
          <w:rFonts w:cstheme="minorHAnsi"/>
          <w:sz w:val="20"/>
          <w:szCs w:val="20"/>
        </w:rPr>
        <w:t xml:space="preserve"> protocols provide evidence for justification of increased priority for patients enrolled in these trials especially in light of the poorer results obtained when patients waiting longer. Though the recommended quantity of increased priority has not been calibrated to the risk of dropout as yet, this should become possible as more data accumulates…”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F. </w:t>
      </w:r>
      <w:r w:rsidRPr="00393257">
        <w:rPr>
          <w:rFonts w:cstheme="minorHAnsi"/>
          <w:b/>
          <w:bCs/>
          <w:sz w:val="20"/>
          <w:szCs w:val="20"/>
        </w:rPr>
        <w:t>POST TRANSPLANT MONITORING</w:t>
      </w:r>
      <w:r w:rsidRPr="00393257">
        <w:rPr>
          <w:rFonts w:cstheme="minorHAnsi"/>
          <w:sz w:val="20"/>
          <w:szCs w:val="20"/>
        </w:rPr>
        <w:t xml:space="preserve">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CA19-9, CT Chest and MRI every 6 months for 2 years, then yearly for years 3 to 5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b/>
          <w:bCs/>
          <w:sz w:val="20"/>
          <w:szCs w:val="20"/>
        </w:rPr>
        <w:t>References:</w:t>
      </w:r>
      <w:r w:rsidRPr="00393257">
        <w:rPr>
          <w:rFonts w:cstheme="minorHAnsi"/>
          <w:sz w:val="20"/>
          <w:szCs w:val="20"/>
        </w:rPr>
        <w:t xml:space="preserve"> </w:t>
      </w:r>
      <w:r w:rsidRPr="00393257">
        <w:rPr>
          <w:rFonts w:cstheme="minorHAnsi"/>
          <w:sz w:val="20"/>
          <w:szCs w:val="20"/>
        </w:rPr>
        <w:br/>
        <w:t xml:space="preserve">1. Sudan D, </w:t>
      </w:r>
      <w:proofErr w:type="spellStart"/>
      <w:r w:rsidRPr="00393257">
        <w:rPr>
          <w:rFonts w:cstheme="minorHAnsi"/>
          <w:sz w:val="20"/>
          <w:szCs w:val="20"/>
        </w:rPr>
        <w:t>DeRoover</w:t>
      </w:r>
      <w:proofErr w:type="spellEnd"/>
      <w:r w:rsidRPr="00393257">
        <w:rPr>
          <w:rFonts w:cstheme="minorHAnsi"/>
          <w:sz w:val="20"/>
          <w:szCs w:val="20"/>
        </w:rPr>
        <w:t xml:space="preserve"> A, </w:t>
      </w:r>
      <w:proofErr w:type="spellStart"/>
      <w:r w:rsidRPr="00393257">
        <w:rPr>
          <w:rFonts w:cstheme="minorHAnsi"/>
          <w:sz w:val="20"/>
          <w:szCs w:val="20"/>
        </w:rPr>
        <w:t>ChinnaKotla</w:t>
      </w:r>
      <w:proofErr w:type="spellEnd"/>
      <w:r w:rsidRPr="00393257">
        <w:rPr>
          <w:rFonts w:cstheme="minorHAnsi"/>
          <w:sz w:val="20"/>
          <w:szCs w:val="20"/>
        </w:rPr>
        <w:t xml:space="preserve"> S, et al. </w:t>
      </w:r>
      <w:proofErr w:type="spellStart"/>
      <w:r w:rsidRPr="00393257">
        <w:rPr>
          <w:rFonts w:cstheme="minorHAnsi"/>
          <w:sz w:val="20"/>
          <w:szCs w:val="20"/>
        </w:rPr>
        <w:t>Radiochemotherapy</w:t>
      </w:r>
      <w:proofErr w:type="spellEnd"/>
      <w:r w:rsidRPr="00393257">
        <w:rPr>
          <w:rFonts w:cstheme="minorHAnsi"/>
          <w:sz w:val="20"/>
          <w:szCs w:val="20"/>
        </w:rPr>
        <w:t xml:space="preserve"> and transplantation allow long-term survival for non-metastatic </w:t>
      </w:r>
      <w:proofErr w:type="spellStart"/>
      <w:r w:rsidRPr="00393257">
        <w:rPr>
          <w:rFonts w:cstheme="minorHAnsi"/>
          <w:sz w:val="20"/>
          <w:szCs w:val="20"/>
        </w:rPr>
        <w:t>hilar</w:t>
      </w:r>
      <w:proofErr w:type="spellEnd"/>
      <w:r w:rsidRPr="00393257">
        <w:rPr>
          <w:rFonts w:cstheme="minorHAnsi"/>
          <w:sz w:val="20"/>
          <w:szCs w:val="20"/>
        </w:rPr>
        <w:t xml:space="preserve"> </w:t>
      </w:r>
      <w:proofErr w:type="spellStart"/>
      <w:r w:rsidRPr="00393257">
        <w:rPr>
          <w:rFonts w:cstheme="minorHAnsi"/>
          <w:sz w:val="20"/>
          <w:szCs w:val="20"/>
        </w:rPr>
        <w:t>cholangiocarcinoma</w:t>
      </w:r>
      <w:proofErr w:type="spellEnd"/>
      <w:r w:rsidRPr="00393257">
        <w:rPr>
          <w:rFonts w:cstheme="minorHAnsi"/>
          <w:sz w:val="20"/>
          <w:szCs w:val="20"/>
        </w:rPr>
        <w:t xml:space="preserve">. </w:t>
      </w:r>
      <w:proofErr w:type="gramStart"/>
      <w:r w:rsidRPr="00393257">
        <w:rPr>
          <w:rFonts w:cstheme="minorHAnsi"/>
          <w:i/>
          <w:iCs/>
          <w:sz w:val="20"/>
          <w:szCs w:val="20"/>
        </w:rPr>
        <w:t>Am J Transplantation</w:t>
      </w:r>
      <w:r w:rsidRPr="00393257">
        <w:rPr>
          <w:rFonts w:cstheme="minorHAnsi"/>
          <w:sz w:val="20"/>
          <w:szCs w:val="20"/>
        </w:rPr>
        <w:t>.</w:t>
      </w:r>
      <w:proofErr w:type="gramEnd"/>
      <w:r w:rsidRPr="00393257">
        <w:rPr>
          <w:rFonts w:cstheme="minorHAnsi"/>
          <w:sz w:val="20"/>
          <w:szCs w:val="20"/>
        </w:rPr>
        <w:t xml:space="preserve"> </w:t>
      </w:r>
      <w:proofErr w:type="gramStart"/>
      <w:r w:rsidRPr="00393257">
        <w:rPr>
          <w:rFonts w:cstheme="minorHAnsi"/>
          <w:sz w:val="20"/>
          <w:szCs w:val="20"/>
        </w:rPr>
        <w:t>2002; 2:774 - 779.</w:t>
      </w:r>
      <w:proofErr w:type="gramEnd"/>
      <w:r w:rsidRPr="00393257">
        <w:rPr>
          <w:rFonts w:cstheme="minorHAnsi"/>
          <w:sz w:val="20"/>
          <w:szCs w:val="20"/>
        </w:rPr>
        <w:br/>
      </w:r>
      <w:r w:rsidRPr="00393257">
        <w:rPr>
          <w:rFonts w:cstheme="minorHAnsi"/>
          <w:sz w:val="20"/>
          <w:szCs w:val="20"/>
        </w:rPr>
        <w:br/>
        <w:t xml:space="preserve">2. Rea DJ, </w:t>
      </w:r>
      <w:proofErr w:type="spellStart"/>
      <w:r w:rsidRPr="00393257">
        <w:rPr>
          <w:rFonts w:cstheme="minorHAnsi"/>
          <w:sz w:val="20"/>
          <w:szCs w:val="20"/>
        </w:rPr>
        <w:t>Heimbach</w:t>
      </w:r>
      <w:proofErr w:type="spellEnd"/>
      <w:r w:rsidRPr="00393257">
        <w:rPr>
          <w:rFonts w:cstheme="minorHAnsi"/>
          <w:sz w:val="20"/>
          <w:szCs w:val="20"/>
        </w:rPr>
        <w:t xml:space="preserve"> JK, Rosen CB, et al. Liver transplantation with </w:t>
      </w:r>
      <w:proofErr w:type="spellStart"/>
      <w:r w:rsidRPr="00393257">
        <w:rPr>
          <w:rFonts w:cstheme="minorHAnsi"/>
          <w:sz w:val="20"/>
          <w:szCs w:val="20"/>
        </w:rPr>
        <w:t>neoadjuvant</w:t>
      </w:r>
      <w:proofErr w:type="spellEnd"/>
      <w:r w:rsidRPr="00393257">
        <w:rPr>
          <w:rFonts w:cstheme="minorHAnsi"/>
          <w:sz w:val="20"/>
          <w:szCs w:val="20"/>
        </w:rPr>
        <w:t xml:space="preserve"> </w:t>
      </w:r>
      <w:proofErr w:type="spellStart"/>
      <w:r w:rsidRPr="00393257">
        <w:rPr>
          <w:rFonts w:cstheme="minorHAnsi"/>
          <w:sz w:val="20"/>
          <w:szCs w:val="20"/>
        </w:rPr>
        <w:t>chemoradiation</w:t>
      </w:r>
      <w:proofErr w:type="spellEnd"/>
      <w:r w:rsidRPr="00393257">
        <w:rPr>
          <w:rFonts w:cstheme="minorHAnsi"/>
          <w:sz w:val="20"/>
          <w:szCs w:val="20"/>
        </w:rPr>
        <w:t xml:space="preserve"> is more effective than resection for </w:t>
      </w:r>
      <w:proofErr w:type="spellStart"/>
      <w:r w:rsidRPr="00393257">
        <w:rPr>
          <w:rFonts w:cstheme="minorHAnsi"/>
          <w:sz w:val="20"/>
          <w:szCs w:val="20"/>
        </w:rPr>
        <w:t>hilar</w:t>
      </w:r>
      <w:proofErr w:type="spellEnd"/>
      <w:r w:rsidRPr="00393257">
        <w:rPr>
          <w:rFonts w:cstheme="minorHAnsi"/>
          <w:sz w:val="20"/>
          <w:szCs w:val="20"/>
        </w:rPr>
        <w:t xml:space="preserve"> </w:t>
      </w:r>
      <w:proofErr w:type="spellStart"/>
      <w:r w:rsidRPr="00393257">
        <w:rPr>
          <w:rFonts w:cstheme="minorHAnsi"/>
          <w:sz w:val="20"/>
          <w:szCs w:val="20"/>
        </w:rPr>
        <w:t>cholangiocarcinoma</w:t>
      </w:r>
      <w:proofErr w:type="spellEnd"/>
      <w:r w:rsidRPr="00393257">
        <w:rPr>
          <w:rFonts w:cstheme="minorHAnsi"/>
          <w:sz w:val="20"/>
          <w:szCs w:val="20"/>
        </w:rPr>
        <w:t xml:space="preserve">. </w:t>
      </w:r>
      <w:proofErr w:type="gramStart"/>
      <w:r w:rsidRPr="00393257">
        <w:rPr>
          <w:rFonts w:cstheme="minorHAnsi"/>
          <w:i/>
          <w:iCs/>
          <w:sz w:val="20"/>
          <w:szCs w:val="20"/>
        </w:rPr>
        <w:t xml:space="preserve">Ann </w:t>
      </w:r>
      <w:proofErr w:type="spellStart"/>
      <w:r w:rsidRPr="00393257">
        <w:rPr>
          <w:rFonts w:cstheme="minorHAnsi"/>
          <w:i/>
          <w:iCs/>
          <w:sz w:val="20"/>
          <w:szCs w:val="20"/>
        </w:rPr>
        <w:t>Surg</w:t>
      </w:r>
      <w:proofErr w:type="spellEnd"/>
      <w:r w:rsidRPr="00393257">
        <w:rPr>
          <w:rFonts w:cstheme="minorHAnsi"/>
          <w:sz w:val="20"/>
          <w:szCs w:val="20"/>
        </w:rPr>
        <w:t xml:space="preserve"> 2005; 242:/451 -61.</w:t>
      </w:r>
      <w:proofErr w:type="gramEnd"/>
      <w:r w:rsidRPr="00393257">
        <w:rPr>
          <w:rFonts w:cstheme="minorHAnsi"/>
          <w:sz w:val="20"/>
          <w:szCs w:val="20"/>
        </w:rPr>
        <w:br/>
      </w:r>
      <w:r w:rsidRPr="00393257">
        <w:rPr>
          <w:rFonts w:cstheme="minorHAnsi"/>
          <w:sz w:val="20"/>
          <w:szCs w:val="20"/>
        </w:rPr>
        <w:br/>
        <w:t xml:space="preserve">3. </w:t>
      </w:r>
      <w:proofErr w:type="spellStart"/>
      <w:r w:rsidRPr="00393257">
        <w:rPr>
          <w:rFonts w:cstheme="minorHAnsi"/>
          <w:sz w:val="20"/>
          <w:szCs w:val="20"/>
        </w:rPr>
        <w:t>Pichlmayr</w:t>
      </w:r>
      <w:proofErr w:type="spellEnd"/>
      <w:r w:rsidRPr="00393257">
        <w:rPr>
          <w:rFonts w:cstheme="minorHAnsi"/>
          <w:sz w:val="20"/>
          <w:szCs w:val="20"/>
        </w:rPr>
        <w:t xml:space="preserve"> R, </w:t>
      </w:r>
      <w:proofErr w:type="spellStart"/>
      <w:r w:rsidRPr="00393257">
        <w:rPr>
          <w:rFonts w:cstheme="minorHAnsi"/>
          <w:sz w:val="20"/>
          <w:szCs w:val="20"/>
        </w:rPr>
        <w:t>Weimann</w:t>
      </w:r>
      <w:proofErr w:type="spellEnd"/>
      <w:r w:rsidRPr="00393257">
        <w:rPr>
          <w:rFonts w:cstheme="minorHAnsi"/>
          <w:sz w:val="20"/>
          <w:szCs w:val="20"/>
        </w:rPr>
        <w:t xml:space="preserve"> A, </w:t>
      </w:r>
      <w:proofErr w:type="spellStart"/>
      <w:r w:rsidRPr="00393257">
        <w:rPr>
          <w:rFonts w:cstheme="minorHAnsi"/>
          <w:sz w:val="20"/>
          <w:szCs w:val="20"/>
        </w:rPr>
        <w:t>Klempnauer</w:t>
      </w:r>
      <w:proofErr w:type="spellEnd"/>
      <w:r w:rsidRPr="00393257">
        <w:rPr>
          <w:rFonts w:cstheme="minorHAnsi"/>
          <w:sz w:val="20"/>
          <w:szCs w:val="20"/>
        </w:rPr>
        <w:t xml:space="preserve"> J, et al. Surgical treatment in Proximal Bile Duct Canter. </w:t>
      </w:r>
      <w:r w:rsidRPr="00393257">
        <w:rPr>
          <w:rFonts w:cstheme="minorHAnsi"/>
          <w:i/>
          <w:iCs/>
          <w:sz w:val="20"/>
          <w:szCs w:val="20"/>
        </w:rPr>
        <w:t>Ann Surg</w:t>
      </w:r>
      <w:r w:rsidRPr="00393257">
        <w:rPr>
          <w:rFonts w:cstheme="minorHAnsi"/>
          <w:sz w:val="20"/>
          <w:szCs w:val="20"/>
        </w:rPr>
        <w:t>. 1996</w:t>
      </w:r>
      <w:proofErr w:type="gramStart"/>
      <w:r w:rsidRPr="00393257">
        <w:rPr>
          <w:rFonts w:cstheme="minorHAnsi"/>
          <w:sz w:val="20"/>
          <w:szCs w:val="20"/>
        </w:rPr>
        <w:t>;224:628</w:t>
      </w:r>
      <w:proofErr w:type="gramEnd"/>
      <w:r w:rsidRPr="00393257">
        <w:rPr>
          <w:rFonts w:cstheme="minorHAnsi"/>
          <w:sz w:val="20"/>
          <w:szCs w:val="20"/>
        </w:rPr>
        <w:t>–638.</w:t>
      </w:r>
      <w:r w:rsidRPr="00393257">
        <w:rPr>
          <w:rFonts w:cstheme="minorHAnsi"/>
          <w:sz w:val="20"/>
          <w:szCs w:val="20"/>
        </w:rPr>
        <w:br/>
      </w:r>
      <w:r w:rsidRPr="00393257">
        <w:rPr>
          <w:rFonts w:cstheme="minorHAnsi"/>
          <w:sz w:val="20"/>
          <w:szCs w:val="20"/>
        </w:rPr>
        <w:br/>
        <w:t xml:space="preserve">4. Meyer C, Penn I, James L. Liver transplantation for </w:t>
      </w:r>
      <w:proofErr w:type="spellStart"/>
      <w:r w:rsidRPr="00393257">
        <w:rPr>
          <w:rFonts w:cstheme="minorHAnsi"/>
          <w:sz w:val="20"/>
          <w:szCs w:val="20"/>
        </w:rPr>
        <w:t>cholangiocarcinoma</w:t>
      </w:r>
      <w:proofErr w:type="spellEnd"/>
      <w:r w:rsidRPr="00393257">
        <w:rPr>
          <w:rFonts w:cstheme="minorHAnsi"/>
          <w:sz w:val="20"/>
          <w:szCs w:val="20"/>
        </w:rPr>
        <w:t xml:space="preserve">: results in 207 patients. </w:t>
      </w:r>
      <w:r w:rsidRPr="00393257">
        <w:rPr>
          <w:rFonts w:cstheme="minorHAnsi"/>
          <w:i/>
          <w:iCs/>
          <w:sz w:val="20"/>
          <w:szCs w:val="20"/>
        </w:rPr>
        <w:t>Transplantation</w:t>
      </w:r>
      <w:r w:rsidRPr="00393257">
        <w:rPr>
          <w:rFonts w:cstheme="minorHAnsi"/>
          <w:sz w:val="20"/>
          <w:szCs w:val="20"/>
        </w:rPr>
        <w:t xml:space="preserve"> 2000; 69: 1633–7.</w:t>
      </w:r>
      <w:r w:rsidRPr="00393257">
        <w:rPr>
          <w:rFonts w:cstheme="minorHAnsi"/>
          <w:sz w:val="20"/>
          <w:szCs w:val="20"/>
        </w:rPr>
        <w:br/>
      </w:r>
      <w:r w:rsidRPr="00393257">
        <w:rPr>
          <w:rFonts w:cstheme="minorHAnsi"/>
          <w:sz w:val="20"/>
          <w:szCs w:val="20"/>
        </w:rPr>
        <w:br/>
        <w:t xml:space="preserve">5. </w:t>
      </w:r>
      <w:proofErr w:type="spellStart"/>
      <w:r w:rsidRPr="00393257">
        <w:rPr>
          <w:rFonts w:cstheme="minorHAnsi"/>
          <w:sz w:val="20"/>
          <w:szCs w:val="20"/>
        </w:rPr>
        <w:t>Heimbach</w:t>
      </w:r>
      <w:proofErr w:type="spellEnd"/>
      <w:r w:rsidRPr="00393257">
        <w:rPr>
          <w:rFonts w:cstheme="minorHAnsi"/>
          <w:sz w:val="20"/>
          <w:szCs w:val="20"/>
        </w:rPr>
        <w:t xml:space="preserve"> J, Haddock M, </w:t>
      </w:r>
      <w:proofErr w:type="spellStart"/>
      <w:r w:rsidRPr="00393257">
        <w:rPr>
          <w:rFonts w:cstheme="minorHAnsi"/>
          <w:sz w:val="20"/>
          <w:szCs w:val="20"/>
        </w:rPr>
        <w:t>Alberts</w:t>
      </w:r>
      <w:proofErr w:type="spellEnd"/>
      <w:r w:rsidRPr="00393257">
        <w:rPr>
          <w:rFonts w:cstheme="minorHAnsi"/>
          <w:sz w:val="20"/>
          <w:szCs w:val="20"/>
        </w:rPr>
        <w:t xml:space="preserve"> S, Nyberg S, </w:t>
      </w:r>
      <w:proofErr w:type="spellStart"/>
      <w:r w:rsidRPr="00393257">
        <w:rPr>
          <w:rFonts w:cstheme="minorHAnsi"/>
          <w:sz w:val="20"/>
          <w:szCs w:val="20"/>
        </w:rPr>
        <w:t>Ishitani</w:t>
      </w:r>
      <w:proofErr w:type="spellEnd"/>
      <w:r w:rsidRPr="00393257">
        <w:rPr>
          <w:rFonts w:cstheme="minorHAnsi"/>
          <w:sz w:val="20"/>
          <w:szCs w:val="20"/>
        </w:rPr>
        <w:t xml:space="preserve"> M, Rosen C, Gores G. Transplantation for </w:t>
      </w:r>
      <w:proofErr w:type="spellStart"/>
      <w:r w:rsidRPr="00393257">
        <w:rPr>
          <w:rFonts w:cstheme="minorHAnsi"/>
          <w:sz w:val="20"/>
          <w:szCs w:val="20"/>
        </w:rPr>
        <w:t>hilar</w:t>
      </w:r>
      <w:proofErr w:type="spellEnd"/>
      <w:r w:rsidRPr="00393257">
        <w:rPr>
          <w:rFonts w:cstheme="minorHAnsi"/>
          <w:sz w:val="20"/>
          <w:szCs w:val="20"/>
        </w:rPr>
        <w:t xml:space="preserve"> </w:t>
      </w:r>
      <w:proofErr w:type="spellStart"/>
      <w:r w:rsidRPr="00393257">
        <w:rPr>
          <w:rFonts w:cstheme="minorHAnsi"/>
          <w:sz w:val="20"/>
          <w:szCs w:val="20"/>
        </w:rPr>
        <w:t>cholangiocarcinoma</w:t>
      </w:r>
      <w:proofErr w:type="spellEnd"/>
      <w:r w:rsidRPr="00393257">
        <w:rPr>
          <w:rFonts w:cstheme="minorHAnsi"/>
          <w:sz w:val="20"/>
          <w:szCs w:val="20"/>
        </w:rPr>
        <w:t xml:space="preserve">. Liver Trans; 2004, 10 (10): S65-S68. </w:t>
      </w:r>
      <w:r w:rsidRPr="00393257">
        <w:rPr>
          <w:rFonts w:cstheme="minorHAnsi"/>
          <w:sz w:val="20"/>
          <w:szCs w:val="20"/>
        </w:rPr>
        <w:br/>
      </w:r>
      <w:r w:rsidRPr="00393257">
        <w:rPr>
          <w:rFonts w:cstheme="minorHAnsi"/>
          <w:sz w:val="20"/>
          <w:szCs w:val="20"/>
        </w:rPr>
        <w:br/>
        <w:t xml:space="preserve">6. Freeman R Gish R, Harper A, Davis G, </w:t>
      </w:r>
      <w:proofErr w:type="spellStart"/>
      <w:r w:rsidRPr="00393257">
        <w:rPr>
          <w:rFonts w:cstheme="minorHAnsi"/>
          <w:sz w:val="20"/>
          <w:szCs w:val="20"/>
        </w:rPr>
        <w:t>Vierling</w:t>
      </w:r>
      <w:proofErr w:type="spellEnd"/>
      <w:r w:rsidRPr="00393257">
        <w:rPr>
          <w:rFonts w:cstheme="minorHAnsi"/>
          <w:sz w:val="20"/>
          <w:szCs w:val="20"/>
        </w:rPr>
        <w:t xml:space="preserve"> J, </w:t>
      </w:r>
      <w:proofErr w:type="spellStart"/>
      <w:r w:rsidRPr="00393257">
        <w:rPr>
          <w:rFonts w:cstheme="minorHAnsi"/>
          <w:sz w:val="20"/>
          <w:szCs w:val="20"/>
        </w:rPr>
        <w:t>Lieblein</w:t>
      </w:r>
      <w:proofErr w:type="spellEnd"/>
      <w:r w:rsidRPr="00393257">
        <w:rPr>
          <w:rFonts w:cstheme="minorHAnsi"/>
          <w:sz w:val="20"/>
          <w:szCs w:val="20"/>
        </w:rPr>
        <w:t xml:space="preserve"> L, </w:t>
      </w:r>
      <w:proofErr w:type="spellStart"/>
      <w:r w:rsidRPr="00393257">
        <w:rPr>
          <w:rFonts w:cstheme="minorHAnsi"/>
          <w:sz w:val="20"/>
          <w:szCs w:val="20"/>
        </w:rPr>
        <w:t>Klintmalm</w:t>
      </w:r>
      <w:proofErr w:type="spellEnd"/>
      <w:r w:rsidRPr="00393257">
        <w:rPr>
          <w:rFonts w:cstheme="minorHAnsi"/>
          <w:sz w:val="20"/>
          <w:szCs w:val="20"/>
        </w:rPr>
        <w:t xml:space="preserve"> G, Blazek J, Hunter R, Punch J. Model for end-stage liver disease (MELD) exception guidelines: Results and recommendations from the MELD exception study group and conference (MESSAGE) for the approval of patients who need liver transplantation with diseases not considered by the standard MELD formula. </w:t>
      </w:r>
      <w:r w:rsidRPr="00393257">
        <w:rPr>
          <w:rFonts w:cstheme="minorHAnsi"/>
          <w:i/>
          <w:iCs/>
          <w:sz w:val="20"/>
          <w:szCs w:val="20"/>
        </w:rPr>
        <w:t>Liver Trans</w:t>
      </w:r>
      <w:r w:rsidRPr="00393257">
        <w:rPr>
          <w:rFonts w:cstheme="minorHAnsi"/>
          <w:sz w:val="20"/>
          <w:szCs w:val="20"/>
        </w:rPr>
        <w:t xml:space="preserve">; 2006, 12 (12): S128-S136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Approved by: Liver Transplant Leadership Group</w:t>
      </w:r>
      <w:r w:rsidRPr="00393257">
        <w:rPr>
          <w:rFonts w:cstheme="minorHAnsi"/>
          <w:sz w:val="20"/>
          <w:szCs w:val="20"/>
        </w:rPr>
        <w:br/>
      </w:r>
      <w:r w:rsidRPr="00393257">
        <w:rPr>
          <w:rFonts w:cstheme="minorHAnsi"/>
          <w:sz w:val="20"/>
          <w:szCs w:val="20"/>
        </w:rPr>
        <w:br/>
      </w:r>
      <w:r w:rsidRPr="00393257">
        <w:rPr>
          <w:rFonts w:cstheme="minorHAnsi"/>
          <w:sz w:val="20"/>
          <w:szCs w:val="20"/>
        </w:rPr>
        <w:br/>
        <w:t>__________________________________</w:t>
      </w:r>
      <w:r w:rsidRPr="00393257">
        <w:rPr>
          <w:rFonts w:cstheme="minorHAnsi"/>
          <w:sz w:val="20"/>
          <w:szCs w:val="20"/>
        </w:rPr>
        <w:br/>
        <w:t xml:space="preserve">Stuart J. </w:t>
      </w:r>
      <w:proofErr w:type="spellStart"/>
      <w:r w:rsidRPr="00393257">
        <w:rPr>
          <w:rFonts w:cstheme="minorHAnsi"/>
          <w:sz w:val="20"/>
          <w:szCs w:val="20"/>
        </w:rPr>
        <w:t>Knechtle</w:t>
      </w:r>
      <w:proofErr w:type="spellEnd"/>
      <w:r w:rsidRPr="00393257">
        <w:rPr>
          <w:rFonts w:cstheme="minorHAnsi"/>
          <w:sz w:val="20"/>
          <w:szCs w:val="20"/>
        </w:rPr>
        <w:t>, M.D</w:t>
      </w:r>
      <w:proofErr w:type="gramStart"/>
      <w:r w:rsidRPr="00393257">
        <w:rPr>
          <w:rFonts w:cstheme="minorHAnsi"/>
          <w:sz w:val="20"/>
          <w:szCs w:val="20"/>
        </w:rPr>
        <w:t>.</w:t>
      </w:r>
      <w:proofErr w:type="gramEnd"/>
      <w:r w:rsidRPr="00393257">
        <w:rPr>
          <w:rFonts w:cstheme="minorHAnsi"/>
          <w:sz w:val="20"/>
          <w:szCs w:val="20"/>
        </w:rPr>
        <w:br/>
        <w:t xml:space="preserve">Surgical Director, Liver Transplant Program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_____________________________________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James Spivey, MD </w:t>
      </w:r>
      <w:r w:rsidRPr="00393257">
        <w:rPr>
          <w:rFonts w:cstheme="minorHAnsi"/>
          <w:sz w:val="20"/>
          <w:szCs w:val="20"/>
        </w:rPr>
        <w:br/>
        <w:t xml:space="preserve">Medical Director, Liver Transplant Program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lastRenderedPageBreak/>
        <w:br/>
      </w:r>
      <w:r w:rsidRPr="00393257">
        <w:rPr>
          <w:rFonts w:cstheme="minorHAnsi"/>
          <w:sz w:val="20"/>
          <w:szCs w:val="20"/>
        </w:rPr>
        <w:br/>
        <w:t xml:space="preserve">Approval Dates: 4/1/2009, 7/8/11, 6/8/12 </w:t>
      </w:r>
    </w:p>
    <w:p w:rsidR="00393257" w:rsidRPr="00393257" w:rsidRDefault="00393257" w:rsidP="00393257">
      <w:pPr>
        <w:autoSpaceDE w:val="0"/>
        <w:autoSpaceDN w:val="0"/>
        <w:adjustRightInd w:val="0"/>
        <w:spacing w:before="100" w:after="100"/>
        <w:rPr>
          <w:rFonts w:cstheme="minorHAnsi"/>
          <w:sz w:val="20"/>
          <w:szCs w:val="20"/>
        </w:rPr>
      </w:pPr>
      <w:r w:rsidRPr="00393257">
        <w:rPr>
          <w:rFonts w:cstheme="minorHAnsi"/>
          <w:sz w:val="20"/>
          <w:szCs w:val="20"/>
        </w:rPr>
        <w:t xml:space="preserve">Revisions: 3/8/2013 </w:t>
      </w:r>
    </w:p>
    <w:p w:rsidR="00D35E10" w:rsidRPr="00393257" w:rsidRDefault="00D35E10">
      <w:pPr>
        <w:rPr>
          <w:rFonts w:cstheme="minorHAnsi"/>
          <w:sz w:val="20"/>
          <w:szCs w:val="20"/>
        </w:rPr>
      </w:pPr>
    </w:p>
    <w:sectPr w:rsidR="00D35E10" w:rsidRPr="00393257"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57"/>
    <w:rsid w:val="00125FA6"/>
    <w:rsid w:val="00393257"/>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2014-11-06T04:28:00Z</dcterms:created>
  <dcterms:modified xsi:type="dcterms:W3CDTF">2014-11-06T04:28:00Z</dcterms:modified>
</cp:coreProperties>
</file>