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1FD9" w14:textId="77777777" w:rsidR="00D82ADA" w:rsidRPr="00120DE3" w:rsidRDefault="00D82ADA" w:rsidP="00D82ADA">
      <w:pPr>
        <w:rPr>
          <w:rFonts w:ascii="Arial" w:hAnsi="Arial" w:cs="Arial"/>
        </w:rPr>
      </w:pPr>
      <w:bookmarkStart w:id="0" w:name="_GoBack"/>
      <w:bookmarkEnd w:id="0"/>
    </w:p>
    <w:tbl>
      <w:tblPr>
        <w:tblpPr w:leftFromText="180" w:rightFromText="180" w:vertAnchor="page" w:horzAnchor="margin" w:tblpY="1742"/>
        <w:tblW w:w="10770" w:type="dxa"/>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5925"/>
        <w:gridCol w:w="4845"/>
      </w:tblGrid>
      <w:tr w:rsidR="00576F37" w:rsidRPr="00120DE3" w14:paraId="4AE340B9" w14:textId="77777777" w:rsidTr="00C7714B">
        <w:trPr>
          <w:trHeight w:val="702"/>
        </w:trPr>
        <w:tc>
          <w:tcPr>
            <w:tcW w:w="10770" w:type="dxa"/>
            <w:gridSpan w:val="2"/>
            <w:tcBorders>
              <w:bottom w:val="single" w:sz="4" w:space="0" w:color="auto"/>
            </w:tcBorders>
            <w:shd w:val="clear" w:color="auto" w:fill="auto"/>
          </w:tcPr>
          <w:p w14:paraId="23CEAD83" w14:textId="73D0C164" w:rsidR="00576F37" w:rsidRPr="00C7714B" w:rsidRDefault="34F15EB1" w:rsidP="00C7714B">
            <w:pPr>
              <w:spacing w:before="60"/>
              <w:rPr>
                <w:rFonts w:ascii="Arial" w:hAnsi="Arial" w:cs="Arial"/>
              </w:rPr>
            </w:pPr>
            <w:r w:rsidRPr="00C7714B">
              <w:rPr>
                <w:rFonts w:ascii="Arial" w:hAnsi="Arial" w:cs="Arial"/>
                <w:b/>
                <w:bCs/>
              </w:rPr>
              <w:t>TITLE:</w:t>
            </w:r>
            <w:r w:rsidRPr="00C7714B">
              <w:rPr>
                <w:rFonts w:ascii="Arial" w:hAnsi="Arial" w:cs="Arial"/>
              </w:rPr>
              <w:t xml:space="preserve"> </w:t>
            </w:r>
            <w:r>
              <w:t xml:space="preserve"> </w:t>
            </w:r>
            <w:r w:rsidR="00152742" w:rsidRPr="00C7714B">
              <w:rPr>
                <w:rFonts w:ascii="Arial" w:hAnsi="Arial" w:cs="Arial"/>
              </w:rPr>
              <w:t xml:space="preserve">Emory Transplant Center Kidney/Pancreas </w:t>
            </w:r>
          </w:p>
        </w:tc>
      </w:tr>
      <w:tr w:rsidR="00576F37" w:rsidRPr="00120DE3" w14:paraId="41D76C6C" w14:textId="77777777" w:rsidTr="00C7714B">
        <w:trPr>
          <w:trHeight w:val="702"/>
        </w:trPr>
        <w:tc>
          <w:tcPr>
            <w:tcW w:w="10770" w:type="dxa"/>
            <w:gridSpan w:val="2"/>
            <w:tcBorders>
              <w:top w:val="single" w:sz="4" w:space="0" w:color="auto"/>
              <w:bottom w:val="single" w:sz="4" w:space="0" w:color="auto"/>
            </w:tcBorders>
            <w:shd w:val="clear" w:color="auto" w:fill="auto"/>
          </w:tcPr>
          <w:p w14:paraId="0B36D3A6" w14:textId="77777777" w:rsidR="00576F37" w:rsidRPr="00C7714B" w:rsidRDefault="34F15EB1" w:rsidP="00C7714B">
            <w:pPr>
              <w:spacing w:before="60"/>
              <w:rPr>
                <w:rFonts w:ascii="Arial" w:hAnsi="Arial" w:cs="Arial"/>
              </w:rPr>
            </w:pPr>
            <w:r w:rsidRPr="00C7714B">
              <w:rPr>
                <w:rFonts w:ascii="Arial" w:hAnsi="Arial" w:cs="Arial"/>
                <w:b/>
                <w:bCs/>
              </w:rPr>
              <w:t>APPLICABLE FACILITIES:</w:t>
            </w:r>
            <w:r w:rsidRPr="00C7714B">
              <w:rPr>
                <w:rFonts w:ascii="Arial" w:hAnsi="Arial" w:cs="Arial"/>
              </w:rPr>
              <w:t xml:space="preserve"> (check all that apply)</w:t>
            </w:r>
          </w:p>
          <w:p w14:paraId="516243FF" w14:textId="77777777" w:rsidR="00F444B1" w:rsidRPr="00C7714B" w:rsidRDefault="34F15EB1" w:rsidP="00C7714B">
            <w:pPr>
              <w:spacing w:before="60"/>
              <w:jc w:val="center"/>
              <w:rPr>
                <w:rFonts w:ascii="Arial" w:hAnsi="Arial" w:cs="Arial"/>
              </w:rPr>
            </w:pPr>
            <w:r w:rsidRPr="00C7714B">
              <w:rPr>
                <w:rFonts w:ascii="Arial" w:hAnsi="Arial" w:cs="Arial"/>
                <w:highlight w:val="green"/>
              </w:rPr>
              <w:t>□EUH</w:t>
            </w:r>
            <w:r w:rsidRPr="00C7714B">
              <w:rPr>
                <w:rFonts w:ascii="Arial" w:hAnsi="Arial" w:cs="Arial"/>
              </w:rPr>
              <w:t xml:space="preserve">    </w:t>
            </w:r>
            <w:r w:rsidRPr="00C7714B">
              <w:rPr>
                <w:rFonts w:ascii="Arial" w:hAnsi="Arial" w:cs="Arial"/>
                <w:b/>
                <w:bCs/>
              </w:rPr>
              <w:t>□</w:t>
            </w:r>
            <w:r w:rsidRPr="00C7714B">
              <w:rPr>
                <w:rFonts w:ascii="Arial" w:hAnsi="Arial" w:cs="Arial"/>
              </w:rPr>
              <w:t>EUOSH    □EWWH    □EUHM    □EJCH    □ESJH    □TEC    □ESA    □ERH</w:t>
            </w:r>
          </w:p>
        </w:tc>
      </w:tr>
      <w:tr w:rsidR="00A96893" w:rsidRPr="00120DE3" w14:paraId="43743E5E" w14:textId="77777777" w:rsidTr="00C7714B">
        <w:tc>
          <w:tcPr>
            <w:tcW w:w="5925" w:type="dxa"/>
            <w:tcBorders>
              <w:top w:val="single" w:sz="4" w:space="0" w:color="auto"/>
              <w:bottom w:val="double" w:sz="4" w:space="0" w:color="auto"/>
            </w:tcBorders>
            <w:shd w:val="clear" w:color="auto" w:fill="auto"/>
          </w:tcPr>
          <w:p w14:paraId="00673C76" w14:textId="2A9EA51B" w:rsidR="00A96893" w:rsidRPr="00C7714B" w:rsidRDefault="34F15EB1" w:rsidP="006A1F9E">
            <w:pPr>
              <w:spacing w:before="60" w:after="20"/>
              <w:rPr>
                <w:rFonts w:ascii="Arial" w:hAnsi="Arial" w:cs="Arial"/>
              </w:rPr>
            </w:pPr>
            <w:r w:rsidRPr="00C7714B">
              <w:rPr>
                <w:rFonts w:ascii="Arial" w:hAnsi="Arial" w:cs="Arial"/>
                <w:b/>
                <w:bCs/>
              </w:rPr>
              <w:t>EFFECTIVE DATE</w:t>
            </w:r>
            <w:r w:rsidRPr="00AE2858">
              <w:rPr>
                <w:rFonts w:ascii="Arial" w:hAnsi="Arial" w:cs="Arial"/>
                <w:b/>
                <w:bCs/>
              </w:rPr>
              <w:t>:</w:t>
            </w:r>
            <w:r w:rsidRPr="00AE2858">
              <w:rPr>
                <w:rFonts w:ascii="Arial" w:hAnsi="Arial" w:cs="Arial"/>
              </w:rPr>
              <w:t xml:space="preserve"> </w:t>
            </w:r>
            <w:r w:rsidR="00D26E79" w:rsidRPr="000531ED">
              <w:rPr>
                <w:rFonts w:ascii="Arial" w:hAnsi="Arial" w:cs="Arial"/>
                <w:color w:val="000000" w:themeColor="text1"/>
              </w:rPr>
              <w:t>0</w:t>
            </w:r>
            <w:r w:rsidR="000531ED">
              <w:rPr>
                <w:rFonts w:ascii="Arial" w:hAnsi="Arial" w:cs="Arial"/>
                <w:color w:val="000000" w:themeColor="text1"/>
              </w:rPr>
              <w:t>5</w:t>
            </w:r>
            <w:r w:rsidR="00D26E79" w:rsidRPr="000531ED">
              <w:rPr>
                <w:rFonts w:ascii="Arial" w:hAnsi="Arial" w:cs="Arial"/>
                <w:color w:val="000000" w:themeColor="text1"/>
              </w:rPr>
              <w:t>/</w:t>
            </w:r>
            <w:r w:rsidR="006A1F9E" w:rsidRPr="000531ED">
              <w:rPr>
                <w:rFonts w:ascii="Arial" w:hAnsi="Arial" w:cs="Arial"/>
                <w:color w:val="000000" w:themeColor="text1"/>
              </w:rPr>
              <w:t>1</w:t>
            </w:r>
            <w:r w:rsidR="000531ED">
              <w:rPr>
                <w:rFonts w:ascii="Arial" w:hAnsi="Arial" w:cs="Arial"/>
                <w:color w:val="000000" w:themeColor="text1"/>
              </w:rPr>
              <w:t>5</w:t>
            </w:r>
            <w:r w:rsidR="00D26E79" w:rsidRPr="000531ED">
              <w:rPr>
                <w:rFonts w:ascii="Arial" w:hAnsi="Arial" w:cs="Arial"/>
                <w:color w:val="000000" w:themeColor="text1"/>
              </w:rPr>
              <w:t>/201</w:t>
            </w:r>
            <w:r w:rsidR="006A1F9E" w:rsidRPr="000531ED">
              <w:rPr>
                <w:rFonts w:ascii="Arial" w:hAnsi="Arial" w:cs="Arial"/>
                <w:color w:val="000000" w:themeColor="text1"/>
              </w:rPr>
              <w:t>9</w:t>
            </w:r>
          </w:p>
        </w:tc>
        <w:tc>
          <w:tcPr>
            <w:tcW w:w="4845" w:type="dxa"/>
            <w:tcBorders>
              <w:top w:val="single" w:sz="4" w:space="0" w:color="auto"/>
              <w:bottom w:val="double" w:sz="4" w:space="0" w:color="auto"/>
            </w:tcBorders>
            <w:shd w:val="clear" w:color="auto" w:fill="auto"/>
          </w:tcPr>
          <w:p w14:paraId="13872A73" w14:textId="305A6DCE" w:rsidR="00A96893" w:rsidRPr="00C7714B" w:rsidRDefault="34F15EB1" w:rsidP="00C7714B">
            <w:pPr>
              <w:spacing w:before="60" w:after="20"/>
              <w:rPr>
                <w:rFonts w:ascii="Arial" w:hAnsi="Arial" w:cs="Arial"/>
              </w:rPr>
            </w:pPr>
            <w:r w:rsidRPr="00C7714B">
              <w:rPr>
                <w:rFonts w:ascii="Arial" w:hAnsi="Arial" w:cs="Arial"/>
                <w:b/>
                <w:bCs/>
              </w:rPr>
              <w:t>ORIGINATION DATE:</w:t>
            </w:r>
            <w:r w:rsidRPr="00C7714B">
              <w:rPr>
                <w:rFonts w:ascii="Arial" w:hAnsi="Arial" w:cs="Arial"/>
              </w:rPr>
              <w:t xml:space="preserve"> </w:t>
            </w:r>
            <w:r w:rsidR="00D26E79" w:rsidRPr="00C7714B">
              <w:rPr>
                <w:rFonts w:ascii="Arial" w:hAnsi="Arial" w:cs="Arial"/>
              </w:rPr>
              <w:t>03/25/2015</w:t>
            </w:r>
          </w:p>
        </w:tc>
      </w:tr>
    </w:tbl>
    <w:p w14:paraId="5D897405" w14:textId="77777777" w:rsidR="00A973EE" w:rsidRPr="00120DE3" w:rsidRDefault="00A973EE" w:rsidP="00D82ADA">
      <w:pPr>
        <w:rPr>
          <w:rFonts w:ascii="Arial" w:hAnsi="Arial" w:cs="Arial"/>
        </w:rPr>
      </w:pPr>
    </w:p>
    <w:p w14:paraId="7D34C7FE" w14:textId="77777777" w:rsidR="00D82ADA" w:rsidRPr="0019168D" w:rsidRDefault="34F15EB1" w:rsidP="34F15EB1">
      <w:pPr>
        <w:rPr>
          <w:rFonts w:ascii="Arial" w:hAnsi="Arial" w:cs="Arial"/>
        </w:rPr>
      </w:pPr>
      <w:r w:rsidRPr="34F15EB1">
        <w:rPr>
          <w:rFonts w:ascii="Arial" w:hAnsi="Arial" w:cs="Arial"/>
          <w:b/>
          <w:bCs/>
          <w:u w:val="single"/>
        </w:rPr>
        <w:t>SCOPE:</w:t>
      </w:r>
      <w:r w:rsidRPr="34F15EB1">
        <w:rPr>
          <w:rFonts w:ascii="Arial" w:hAnsi="Arial" w:cs="Arial"/>
        </w:rPr>
        <w:t xml:space="preserve"> </w:t>
      </w:r>
    </w:p>
    <w:p w14:paraId="6CE955DB" w14:textId="77777777" w:rsidR="00F802BC" w:rsidRDefault="00F802BC" w:rsidP="00D82ADA">
      <w:pPr>
        <w:rPr>
          <w:rFonts w:ascii="Arial" w:hAnsi="Arial" w:cs="Arial"/>
        </w:rPr>
      </w:pPr>
    </w:p>
    <w:p w14:paraId="74FB6BEF" w14:textId="21BDD827" w:rsidR="00C05CA7" w:rsidRDefault="00D26E79" w:rsidP="00D82ADA">
      <w:pPr>
        <w:rPr>
          <w:rFonts w:ascii="Arial" w:hAnsi="Arial" w:cs="Arial"/>
        </w:rPr>
      </w:pPr>
      <w:r w:rsidRPr="00D26E79">
        <w:rPr>
          <w:rFonts w:ascii="Arial" w:hAnsi="Arial" w:cs="Arial"/>
        </w:rPr>
        <w:t>The Emory Transplant Center and all the solid organ transplant programs will comply with all applicable federal, state, and local laws regulations, policies and protocols regarding the management of transplant patients.</w:t>
      </w:r>
      <w:r w:rsidRPr="00D26E79">
        <w:rPr>
          <w:rFonts w:ascii="Arial" w:hAnsi="Arial" w:cs="Arial"/>
        </w:rPr>
        <w:br/>
      </w:r>
      <w:r w:rsidRPr="00D26E79">
        <w:rPr>
          <w:rFonts w:ascii="Arial" w:hAnsi="Arial" w:cs="Arial"/>
        </w:rPr>
        <w:br/>
      </w:r>
    </w:p>
    <w:p w14:paraId="6C68B5A5" w14:textId="77777777" w:rsidR="00F802BC" w:rsidRPr="00120DE3" w:rsidRDefault="00F802BC" w:rsidP="00D82ADA">
      <w:pPr>
        <w:rPr>
          <w:rFonts w:ascii="Arial" w:hAnsi="Arial" w:cs="Arial"/>
        </w:rPr>
      </w:pPr>
    </w:p>
    <w:p w14:paraId="04DBB2FD" w14:textId="1EB2119D" w:rsidR="008660BA" w:rsidRDefault="34F15EB1" w:rsidP="008660BA">
      <w:pPr>
        <w:rPr>
          <w:rFonts w:ascii="Arial" w:hAnsi="Arial" w:cs="Arial"/>
        </w:rPr>
      </w:pPr>
      <w:r w:rsidRPr="34F15EB1">
        <w:rPr>
          <w:rFonts w:ascii="Arial" w:hAnsi="Arial" w:cs="Arial"/>
          <w:b/>
          <w:bCs/>
          <w:u w:val="single"/>
        </w:rPr>
        <w:t>PURPOSE:</w:t>
      </w:r>
      <w:r w:rsidR="00346840" w:rsidRPr="00346840">
        <w:rPr>
          <w:rFonts w:ascii="Arial" w:hAnsi="Arial" w:cs="Arial"/>
          <w:b/>
          <w:bCs/>
        </w:rPr>
        <w:t xml:space="preserve"> </w:t>
      </w:r>
      <w:r w:rsidR="00D26E79" w:rsidRPr="00D26E79">
        <w:rPr>
          <w:rFonts w:ascii="Arial" w:hAnsi="Arial" w:cs="Arial"/>
        </w:rPr>
        <w:t>This protocol provides guidelines on treatment for rejection in patients with a kidney or kidney/pancreas transplant.</w:t>
      </w:r>
      <w:r w:rsidR="00D26E79" w:rsidRPr="00D26E79">
        <w:rPr>
          <w:rFonts w:ascii="Arial" w:hAnsi="Arial" w:cs="Arial"/>
        </w:rPr>
        <w:br/>
      </w:r>
      <w:r w:rsidR="00D26E79" w:rsidRPr="00D26E79">
        <w:rPr>
          <w:rFonts w:ascii="Arial" w:hAnsi="Arial" w:cs="Arial"/>
        </w:rPr>
        <w:br/>
      </w:r>
      <w:r w:rsidR="00D26E79" w:rsidRPr="00D26E79">
        <w:rPr>
          <w:rFonts w:ascii="Arial" w:hAnsi="Arial" w:cs="Arial"/>
          <w:b/>
          <w:bCs/>
        </w:rPr>
        <w:t xml:space="preserve">Admin Responsibility: </w:t>
      </w:r>
      <w:r w:rsidR="00D26E79" w:rsidRPr="00D26E79">
        <w:rPr>
          <w:rFonts w:ascii="Arial" w:hAnsi="Arial" w:cs="Arial"/>
        </w:rPr>
        <w:t>All transplant program physicians, practitioners and clinical staff members are responsible for compliance with this protocol.</w:t>
      </w:r>
    </w:p>
    <w:p w14:paraId="2435B4E7" w14:textId="77777777" w:rsidR="002A3DF1" w:rsidRDefault="002A3DF1" w:rsidP="008660BA">
      <w:pPr>
        <w:rPr>
          <w:rFonts w:ascii="Arial" w:hAnsi="Arial" w:cs="Arial"/>
        </w:rPr>
      </w:pPr>
    </w:p>
    <w:p w14:paraId="7B6E5698" w14:textId="77777777" w:rsidR="00CE4923" w:rsidRPr="00D26E79" w:rsidRDefault="34F15EB1" w:rsidP="00595E18">
      <w:pPr>
        <w:rPr>
          <w:rFonts w:ascii="Arial" w:hAnsi="Arial" w:cs="Arial"/>
        </w:rPr>
      </w:pPr>
      <w:r w:rsidRPr="34F15EB1">
        <w:rPr>
          <w:rFonts w:ascii="Arial" w:hAnsi="Arial" w:cs="Arial"/>
          <w:b/>
          <w:bCs/>
          <w:u w:val="single"/>
        </w:rPr>
        <w:t>GUIDELINES</w:t>
      </w:r>
      <w:r w:rsidRPr="00CE4923">
        <w:rPr>
          <w:rFonts w:ascii="Arial" w:hAnsi="Arial" w:cs="Arial"/>
          <w:b/>
          <w:bCs/>
          <w:u w:val="single"/>
        </w:rPr>
        <w:t>:</w:t>
      </w:r>
      <w:r w:rsidRPr="00CE4923">
        <w:rPr>
          <w:rFonts w:ascii="Arial" w:hAnsi="Arial" w:cs="Arial"/>
          <w:u w:val="single"/>
        </w:rPr>
        <w:t xml:space="preserve"> </w:t>
      </w:r>
      <w:r w:rsidRPr="00CE4923">
        <w:rPr>
          <w:rFonts w:ascii="Arial" w:hAnsi="Arial" w:cs="Arial"/>
        </w:rPr>
        <w:t xml:space="preserve"> </w:t>
      </w:r>
    </w:p>
    <w:p w14:paraId="3D861471" w14:textId="77777777" w:rsidR="00570F73" w:rsidRPr="00D26E79" w:rsidRDefault="00570F73" w:rsidP="00CE4923">
      <w:pPr>
        <w:rPr>
          <w:rFonts w:ascii="Arial" w:hAnsi="Arial" w:cs="Arial"/>
          <w:b/>
          <w:bCs/>
          <w:u w:val="single"/>
        </w:rPr>
      </w:pPr>
    </w:p>
    <w:p w14:paraId="1B64A18F" w14:textId="77777777" w:rsidR="00D26E79" w:rsidRPr="00D26E79" w:rsidRDefault="00D26E79" w:rsidP="00D26E79">
      <w:pPr>
        <w:jc w:val="center"/>
        <w:rPr>
          <w:rFonts w:ascii="Arial" w:hAnsi="Arial"/>
          <w:color w:val="000000"/>
        </w:rPr>
      </w:pPr>
      <w:r w:rsidRPr="00D26E79">
        <w:rPr>
          <w:rFonts w:ascii="Arial" w:hAnsi="Arial"/>
          <w:b/>
          <w:bCs/>
          <w:color w:val="000000"/>
          <w:u w:val="single"/>
        </w:rPr>
        <w:t>REJECTION PROTOCOLS</w:t>
      </w:r>
    </w:p>
    <w:p w14:paraId="7E969D26" w14:textId="77777777" w:rsidR="00D26E79" w:rsidRPr="00D26E79" w:rsidRDefault="00D26E79" w:rsidP="00D26E79">
      <w:pPr>
        <w:ind w:left="720"/>
        <w:rPr>
          <w:rFonts w:ascii="Arial" w:hAnsi="Arial"/>
          <w:color w:val="000000"/>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5"/>
        <w:gridCol w:w="6135"/>
      </w:tblGrid>
      <w:tr w:rsidR="00D26E79" w:rsidRPr="00D26E79" w14:paraId="4CC47D40" w14:textId="77777777" w:rsidTr="000733BF">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14:paraId="7317AF77" w14:textId="77777777" w:rsidR="00D26E79" w:rsidRPr="00D26E79" w:rsidRDefault="00D26E79" w:rsidP="000733BF">
            <w:pPr>
              <w:rPr>
                <w:rFonts w:ascii="Arial" w:hAnsi="Arial"/>
                <w:color w:val="000000"/>
              </w:rPr>
            </w:pPr>
            <w:r w:rsidRPr="00D26E79">
              <w:rPr>
                <w:rFonts w:ascii="Arial" w:hAnsi="Arial"/>
                <w:b/>
                <w:bCs/>
                <w:color w:val="000000"/>
              </w:rPr>
              <w:t>Borderline</w:t>
            </w:r>
          </w:p>
        </w:tc>
        <w:tc>
          <w:tcPr>
            <w:tcW w:w="6090" w:type="dxa"/>
            <w:tcBorders>
              <w:top w:val="outset" w:sz="6" w:space="0" w:color="auto"/>
              <w:left w:val="outset" w:sz="6" w:space="0" w:color="auto"/>
              <w:bottom w:val="outset" w:sz="6" w:space="0" w:color="auto"/>
              <w:right w:val="outset" w:sz="6" w:space="0" w:color="auto"/>
            </w:tcBorders>
            <w:hideMark/>
          </w:tcPr>
          <w:p w14:paraId="6EB36163"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 xml:space="preserve">Mini Pulse </w:t>
            </w:r>
          </w:p>
          <w:p w14:paraId="72AC083A" w14:textId="02827EF5" w:rsidR="00D26E79" w:rsidRPr="00D26E79" w:rsidRDefault="008D276B" w:rsidP="00D26E79">
            <w:pPr>
              <w:numPr>
                <w:ilvl w:val="1"/>
                <w:numId w:val="2"/>
              </w:numPr>
              <w:spacing w:before="100" w:beforeAutospacing="1" w:after="100" w:afterAutospacing="1"/>
              <w:ind w:left="720"/>
              <w:rPr>
                <w:rFonts w:ascii="Arial" w:hAnsi="Arial"/>
                <w:color w:val="000000"/>
              </w:rPr>
            </w:pPr>
            <w:r w:rsidRPr="000531ED">
              <w:rPr>
                <w:rFonts w:ascii="Arial" w:hAnsi="Arial"/>
                <w:color w:val="000000"/>
              </w:rPr>
              <w:t>Augment</w:t>
            </w:r>
            <w:r>
              <w:rPr>
                <w:rFonts w:ascii="Arial" w:hAnsi="Arial"/>
                <w:color w:val="000000"/>
              </w:rPr>
              <w:t xml:space="preserve"> </w:t>
            </w:r>
            <w:r w:rsidR="00D26E79" w:rsidRPr="00D26E79">
              <w:rPr>
                <w:rFonts w:ascii="Arial" w:hAnsi="Arial"/>
                <w:color w:val="000000"/>
              </w:rPr>
              <w:t xml:space="preserve"> maintenance immunosuppression</w:t>
            </w:r>
          </w:p>
        </w:tc>
      </w:tr>
      <w:tr w:rsidR="00D26E79" w:rsidRPr="00D26E79" w14:paraId="04BC5B2C" w14:textId="77777777" w:rsidTr="000733BF">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14:paraId="2905D48C" w14:textId="77777777" w:rsidR="00D26E79" w:rsidRPr="00D26E79" w:rsidRDefault="00D26E79" w:rsidP="000733BF">
            <w:pPr>
              <w:rPr>
                <w:rFonts w:ascii="Arial" w:hAnsi="Arial"/>
                <w:color w:val="000000"/>
              </w:rPr>
            </w:pPr>
            <w:r w:rsidRPr="00D26E79">
              <w:rPr>
                <w:rFonts w:ascii="Arial" w:hAnsi="Arial"/>
                <w:b/>
                <w:bCs/>
                <w:color w:val="000000"/>
              </w:rPr>
              <w:t>ACR 1A</w:t>
            </w:r>
          </w:p>
        </w:tc>
        <w:tc>
          <w:tcPr>
            <w:tcW w:w="6090" w:type="dxa"/>
            <w:tcBorders>
              <w:top w:val="outset" w:sz="6" w:space="0" w:color="auto"/>
              <w:left w:val="outset" w:sz="6" w:space="0" w:color="auto"/>
              <w:bottom w:val="outset" w:sz="6" w:space="0" w:color="auto"/>
              <w:right w:val="outset" w:sz="6" w:space="0" w:color="auto"/>
            </w:tcBorders>
            <w:hideMark/>
          </w:tcPr>
          <w:p w14:paraId="5FB7BF99" w14:textId="7D8FA159"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 xml:space="preserve">Steroid Pulse </w:t>
            </w:r>
            <w:r w:rsidR="008D276B">
              <w:rPr>
                <w:rFonts w:ascii="Arial" w:hAnsi="Arial"/>
                <w:color w:val="000000"/>
              </w:rPr>
              <w:t>(10mg/kg x 3days)</w:t>
            </w:r>
          </w:p>
          <w:p w14:paraId="273E2806"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 xml:space="preserve">6 week prednisone taper </w:t>
            </w:r>
          </w:p>
          <w:p w14:paraId="1692470C"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proofErr w:type="spellStart"/>
            <w:r w:rsidRPr="00D26E79">
              <w:rPr>
                <w:rFonts w:ascii="Arial" w:hAnsi="Arial"/>
                <w:color w:val="000000"/>
              </w:rPr>
              <w:t>Rebiopsy</w:t>
            </w:r>
            <w:proofErr w:type="spellEnd"/>
            <w:r w:rsidRPr="00D26E79">
              <w:rPr>
                <w:rFonts w:ascii="Arial" w:hAnsi="Arial"/>
                <w:color w:val="000000"/>
              </w:rPr>
              <w:t xml:space="preserve"> in 1 month if </w:t>
            </w:r>
            <w:proofErr w:type="spellStart"/>
            <w:r w:rsidRPr="00D26E79">
              <w:rPr>
                <w:rFonts w:ascii="Arial" w:hAnsi="Arial"/>
                <w:color w:val="000000"/>
              </w:rPr>
              <w:t>SCr</w:t>
            </w:r>
            <w:proofErr w:type="spellEnd"/>
            <w:r w:rsidRPr="00D26E79">
              <w:rPr>
                <w:rFonts w:ascii="Arial" w:hAnsi="Arial"/>
                <w:color w:val="000000"/>
              </w:rPr>
              <w:t xml:space="preserve"> not improved</w:t>
            </w:r>
          </w:p>
        </w:tc>
      </w:tr>
      <w:tr w:rsidR="00D26E79" w:rsidRPr="00D26E79" w14:paraId="346AAC99" w14:textId="77777777" w:rsidTr="000733BF">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14:paraId="49026939" w14:textId="40B6681B" w:rsidR="00D26E79" w:rsidRPr="00D26E79" w:rsidRDefault="00D26E79" w:rsidP="000733BF">
            <w:pPr>
              <w:rPr>
                <w:rFonts w:ascii="Arial" w:hAnsi="Arial"/>
                <w:color w:val="000000"/>
              </w:rPr>
            </w:pPr>
            <w:r w:rsidRPr="00D26E79">
              <w:rPr>
                <w:rFonts w:ascii="Arial" w:hAnsi="Arial"/>
                <w:b/>
                <w:bCs/>
                <w:color w:val="000000"/>
              </w:rPr>
              <w:t>ACR 1B</w:t>
            </w:r>
          </w:p>
        </w:tc>
        <w:tc>
          <w:tcPr>
            <w:tcW w:w="6090" w:type="dxa"/>
            <w:tcBorders>
              <w:top w:val="outset" w:sz="6" w:space="0" w:color="auto"/>
              <w:left w:val="outset" w:sz="6" w:space="0" w:color="auto"/>
              <w:bottom w:val="outset" w:sz="6" w:space="0" w:color="auto"/>
              <w:right w:val="outset" w:sz="6" w:space="0" w:color="auto"/>
            </w:tcBorders>
            <w:hideMark/>
          </w:tcPr>
          <w:p w14:paraId="7C8B790F" w14:textId="6A15C2D5" w:rsidR="00D26E79" w:rsidRPr="000531ED" w:rsidRDefault="00D26E79" w:rsidP="00D26E79">
            <w:pPr>
              <w:numPr>
                <w:ilvl w:val="1"/>
                <w:numId w:val="2"/>
              </w:numPr>
              <w:spacing w:before="100" w:beforeAutospacing="1" w:after="100" w:afterAutospacing="1"/>
              <w:ind w:left="720"/>
              <w:rPr>
                <w:rFonts w:ascii="Arial" w:hAnsi="Arial"/>
                <w:color w:val="000000"/>
              </w:rPr>
            </w:pPr>
            <w:r w:rsidRPr="000531ED">
              <w:rPr>
                <w:rFonts w:ascii="Arial" w:hAnsi="Arial"/>
                <w:color w:val="000000"/>
              </w:rPr>
              <w:t>Thymoglobulin (</w:t>
            </w:r>
            <w:r w:rsidR="008D276B" w:rsidRPr="000531ED">
              <w:rPr>
                <w:rFonts w:ascii="Arial" w:hAnsi="Arial"/>
                <w:color w:val="000000"/>
              </w:rPr>
              <w:t>1.5mg/kg x 3</w:t>
            </w:r>
            <w:r w:rsidRPr="000531ED">
              <w:rPr>
                <w:rFonts w:ascii="Arial" w:hAnsi="Arial"/>
                <w:color w:val="000000"/>
              </w:rPr>
              <w:t xml:space="preserve"> days) </w:t>
            </w:r>
          </w:p>
          <w:p w14:paraId="0DB02DFC"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 xml:space="preserve">6 week prednisone taper </w:t>
            </w:r>
          </w:p>
          <w:p w14:paraId="3AE0E800"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 xml:space="preserve">If on belatacept and Prograf, reduce Prograf goal trough to 3-5 ng/ml. Then taper per protocol. </w:t>
            </w:r>
          </w:p>
          <w:p w14:paraId="61311E77"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For patients on belatacept and</w:t>
            </w:r>
            <w:r w:rsidRPr="00D26E79">
              <w:rPr>
                <w:rFonts w:ascii="Arial" w:hAnsi="Arial"/>
                <w:color w:val="000000"/>
                <w:sz w:val="20"/>
                <w:szCs w:val="20"/>
              </w:rPr>
              <w:t xml:space="preserve"> </w:t>
            </w:r>
            <w:r w:rsidRPr="00D26E79">
              <w:rPr>
                <w:rFonts w:ascii="Arial" w:hAnsi="Arial"/>
                <w:color w:val="000000"/>
              </w:rPr>
              <w:t>weaned from Prograf, no change in maintenance immunosuppression.</w:t>
            </w:r>
          </w:p>
        </w:tc>
      </w:tr>
      <w:tr w:rsidR="00D26E79" w:rsidRPr="00D26E79" w14:paraId="2BE6B001" w14:textId="77777777" w:rsidTr="000733BF">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14:paraId="7B6C3C99" w14:textId="430A22F9" w:rsidR="00D26E79" w:rsidRPr="00D26E79" w:rsidRDefault="00D26E79" w:rsidP="000733BF">
            <w:pPr>
              <w:rPr>
                <w:rFonts w:ascii="Arial" w:hAnsi="Arial"/>
                <w:color w:val="000000"/>
              </w:rPr>
            </w:pPr>
            <w:r w:rsidRPr="00D26E79">
              <w:rPr>
                <w:rFonts w:ascii="Arial" w:hAnsi="Arial"/>
                <w:b/>
                <w:bCs/>
                <w:color w:val="000000"/>
              </w:rPr>
              <w:t xml:space="preserve">ACR </w:t>
            </w:r>
            <w:r w:rsidR="008D276B">
              <w:rPr>
                <w:rFonts w:ascii="Arial" w:hAnsi="Arial"/>
                <w:b/>
                <w:bCs/>
                <w:color w:val="000000"/>
              </w:rPr>
              <w:t xml:space="preserve">2A, </w:t>
            </w:r>
            <w:r w:rsidRPr="00D26E79">
              <w:rPr>
                <w:rFonts w:ascii="Arial" w:hAnsi="Arial"/>
                <w:b/>
                <w:bCs/>
                <w:color w:val="000000"/>
              </w:rPr>
              <w:t>2B</w:t>
            </w:r>
          </w:p>
        </w:tc>
        <w:tc>
          <w:tcPr>
            <w:tcW w:w="6090" w:type="dxa"/>
            <w:tcBorders>
              <w:top w:val="outset" w:sz="6" w:space="0" w:color="auto"/>
              <w:left w:val="outset" w:sz="6" w:space="0" w:color="auto"/>
              <w:bottom w:val="outset" w:sz="6" w:space="0" w:color="auto"/>
              <w:right w:val="outset" w:sz="6" w:space="0" w:color="auto"/>
            </w:tcBorders>
            <w:hideMark/>
          </w:tcPr>
          <w:p w14:paraId="025DC3AE" w14:textId="6B6093AB" w:rsidR="00D26E79" w:rsidRPr="000531ED" w:rsidRDefault="00D26E79" w:rsidP="00D26E79">
            <w:pPr>
              <w:numPr>
                <w:ilvl w:val="1"/>
                <w:numId w:val="2"/>
              </w:numPr>
              <w:spacing w:before="100" w:beforeAutospacing="1" w:after="100" w:afterAutospacing="1"/>
              <w:ind w:left="720"/>
              <w:rPr>
                <w:rFonts w:ascii="Arial" w:hAnsi="Arial"/>
                <w:color w:val="000000"/>
              </w:rPr>
            </w:pPr>
            <w:r w:rsidRPr="000531ED">
              <w:rPr>
                <w:rFonts w:ascii="Arial" w:hAnsi="Arial"/>
                <w:color w:val="000000"/>
              </w:rPr>
              <w:t>Thymoglobulin (</w:t>
            </w:r>
            <w:r w:rsidR="008D276B" w:rsidRPr="000531ED">
              <w:rPr>
                <w:rFonts w:ascii="Arial" w:hAnsi="Arial"/>
                <w:color w:val="000000"/>
              </w:rPr>
              <w:t>1.5mg/kg x 5</w:t>
            </w:r>
            <w:r w:rsidRPr="000531ED">
              <w:rPr>
                <w:rFonts w:ascii="Arial" w:hAnsi="Arial"/>
                <w:color w:val="000000"/>
              </w:rPr>
              <w:t xml:space="preserve"> days) </w:t>
            </w:r>
          </w:p>
          <w:p w14:paraId="622894B2"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 xml:space="preserve">6 week prednisone taper </w:t>
            </w:r>
          </w:p>
          <w:p w14:paraId="49DD4A21"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If on belatacept and Prograf, reduce Prograf goal trough to 3-5 ng/ml. Then taper per protocol</w:t>
            </w:r>
            <w:r w:rsidRPr="00D26E79">
              <w:rPr>
                <w:rFonts w:ascii="Arial" w:hAnsi="Arial"/>
                <w:color w:val="000000"/>
                <w:sz w:val="20"/>
                <w:szCs w:val="20"/>
              </w:rPr>
              <w:t>.</w:t>
            </w:r>
            <w:r w:rsidRPr="00D26E79">
              <w:rPr>
                <w:rFonts w:ascii="Arial" w:hAnsi="Arial"/>
                <w:color w:val="000000"/>
              </w:rPr>
              <w:t xml:space="preserve"> </w:t>
            </w:r>
          </w:p>
          <w:p w14:paraId="4971C02F"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lastRenderedPageBreak/>
              <w:t>For patients on belatacept and weaned from Prograf, no change in maintenance immunosuppression.</w:t>
            </w:r>
          </w:p>
        </w:tc>
      </w:tr>
      <w:tr w:rsidR="00D26E79" w:rsidRPr="00D26E79" w14:paraId="28E859F5" w14:textId="77777777" w:rsidTr="000733BF">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14:paraId="4BFAE38A" w14:textId="77777777" w:rsidR="00D26E79" w:rsidRPr="00D26E79" w:rsidRDefault="00D26E79" w:rsidP="000733BF">
            <w:pPr>
              <w:rPr>
                <w:rFonts w:ascii="Arial" w:hAnsi="Arial"/>
                <w:color w:val="000000"/>
              </w:rPr>
            </w:pPr>
            <w:r w:rsidRPr="00D26E79">
              <w:rPr>
                <w:rFonts w:ascii="Arial" w:hAnsi="Arial"/>
                <w:b/>
                <w:bCs/>
                <w:color w:val="000000"/>
              </w:rPr>
              <w:lastRenderedPageBreak/>
              <w:t>ACR 3</w:t>
            </w:r>
          </w:p>
        </w:tc>
        <w:tc>
          <w:tcPr>
            <w:tcW w:w="6090" w:type="dxa"/>
            <w:tcBorders>
              <w:top w:val="outset" w:sz="6" w:space="0" w:color="auto"/>
              <w:left w:val="outset" w:sz="6" w:space="0" w:color="auto"/>
              <w:bottom w:val="outset" w:sz="6" w:space="0" w:color="auto"/>
              <w:right w:val="outset" w:sz="6" w:space="0" w:color="auto"/>
            </w:tcBorders>
            <w:hideMark/>
          </w:tcPr>
          <w:p w14:paraId="72F8026A" w14:textId="30C49945" w:rsidR="00D26E79" w:rsidRPr="00B83C4E"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Thymoglobu</w:t>
            </w:r>
            <w:r w:rsidRPr="00B83C4E">
              <w:rPr>
                <w:rFonts w:ascii="Arial" w:hAnsi="Arial"/>
                <w:color w:val="000000"/>
              </w:rPr>
              <w:t>lin (</w:t>
            </w:r>
            <w:r w:rsidR="008D276B" w:rsidRPr="00B83C4E">
              <w:rPr>
                <w:rFonts w:ascii="Arial" w:hAnsi="Arial"/>
                <w:color w:val="000000"/>
              </w:rPr>
              <w:t>1.5mg/kg x 7</w:t>
            </w:r>
            <w:r w:rsidRPr="00B83C4E">
              <w:rPr>
                <w:rFonts w:ascii="Arial" w:hAnsi="Arial"/>
                <w:color w:val="000000"/>
              </w:rPr>
              <w:t xml:space="preserve">days) </w:t>
            </w:r>
          </w:p>
          <w:p w14:paraId="2F81A22E"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 xml:space="preserve">6 week prednisone taper </w:t>
            </w:r>
          </w:p>
          <w:p w14:paraId="1B379A5A"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 xml:space="preserve">If on belatacept and Prograf, reduce Prograf goal trough to 3-5 ng/ml. Then taper per protocol. </w:t>
            </w:r>
          </w:p>
          <w:p w14:paraId="3F2927CB" w14:textId="77777777" w:rsidR="00D26E79" w:rsidRPr="00D26E79" w:rsidRDefault="00D26E79" w:rsidP="00D26E79">
            <w:pPr>
              <w:numPr>
                <w:ilvl w:val="1"/>
                <w:numId w:val="2"/>
              </w:numPr>
              <w:spacing w:before="100" w:beforeAutospacing="1" w:after="100" w:afterAutospacing="1"/>
              <w:ind w:left="720"/>
              <w:rPr>
                <w:rFonts w:ascii="Arial" w:hAnsi="Arial"/>
                <w:color w:val="000000"/>
              </w:rPr>
            </w:pPr>
            <w:r w:rsidRPr="00D26E79">
              <w:rPr>
                <w:rFonts w:ascii="Arial" w:hAnsi="Arial"/>
                <w:color w:val="000000"/>
              </w:rPr>
              <w:t>For patients on belatacept and weaned from Prograf, no change in maintenance immunosuppression.</w:t>
            </w:r>
          </w:p>
        </w:tc>
      </w:tr>
      <w:tr w:rsidR="00D26E79" w:rsidRPr="00D26E79" w14:paraId="2A48015F" w14:textId="77777777" w:rsidTr="000733BF">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14:paraId="74CFE338" w14:textId="77777777" w:rsidR="00D26E79" w:rsidRPr="00D26E79" w:rsidRDefault="00D26E79" w:rsidP="000733BF">
            <w:pPr>
              <w:rPr>
                <w:rFonts w:ascii="Arial" w:hAnsi="Arial"/>
                <w:color w:val="000000"/>
              </w:rPr>
            </w:pPr>
            <w:r w:rsidRPr="00D26E79">
              <w:rPr>
                <w:rFonts w:ascii="Arial" w:hAnsi="Arial"/>
                <w:b/>
                <w:bCs/>
                <w:color w:val="000000"/>
              </w:rPr>
              <w:t>AMR</w:t>
            </w:r>
          </w:p>
        </w:tc>
        <w:tc>
          <w:tcPr>
            <w:tcW w:w="6090" w:type="dxa"/>
            <w:tcBorders>
              <w:top w:val="outset" w:sz="6" w:space="0" w:color="auto"/>
              <w:left w:val="outset" w:sz="6" w:space="0" w:color="auto"/>
              <w:bottom w:val="outset" w:sz="6" w:space="0" w:color="auto"/>
              <w:right w:val="outset" w:sz="6" w:space="0" w:color="auto"/>
            </w:tcBorders>
            <w:hideMark/>
          </w:tcPr>
          <w:p w14:paraId="664CC5AA" w14:textId="77777777" w:rsidR="00D26E79" w:rsidRPr="00D26E79" w:rsidRDefault="00D26E79" w:rsidP="000733BF">
            <w:pPr>
              <w:rPr>
                <w:rFonts w:ascii="Arial" w:hAnsi="Arial"/>
                <w:color w:val="000000"/>
              </w:rPr>
            </w:pPr>
            <w:r w:rsidRPr="00D26E79">
              <w:rPr>
                <w:rFonts w:ascii="Arial" w:hAnsi="Arial"/>
                <w:color w:val="000000"/>
              </w:rPr>
              <w:t>Plasmapheresis/ IVIG</w:t>
            </w:r>
          </w:p>
        </w:tc>
      </w:tr>
    </w:tbl>
    <w:p w14:paraId="27696198" w14:textId="77777777" w:rsidR="00D26E79" w:rsidRPr="00D26E79" w:rsidRDefault="00D26E79" w:rsidP="00D26E79">
      <w:pPr>
        <w:rPr>
          <w:rFonts w:ascii="Arial" w:hAnsi="Arial"/>
          <w:color w:val="000000"/>
        </w:rPr>
      </w:pPr>
      <w:r w:rsidRPr="00D26E79">
        <w:rPr>
          <w:rFonts w:ascii="Arial" w:hAnsi="Arial"/>
          <w:b/>
          <w:bCs/>
          <w:color w:val="000000"/>
        </w:rPr>
        <w:t xml:space="preserve">A. </w:t>
      </w:r>
      <w:r w:rsidRPr="00D26E79">
        <w:rPr>
          <w:rFonts w:ascii="Arial" w:hAnsi="Arial"/>
          <w:b/>
          <w:bCs/>
          <w:color w:val="000000"/>
          <w:u w:val="single"/>
        </w:rPr>
        <w:t xml:space="preserve">Mini Pulse </w:t>
      </w:r>
      <w:r w:rsidRPr="00D26E79">
        <w:rPr>
          <w:rFonts w:ascii="Arial" w:hAnsi="Arial"/>
          <w:color w:val="000000"/>
        </w:rPr>
        <w:br/>
        <w:t xml:space="preserve">Prednisone 100mg </w:t>
      </w:r>
      <w:proofErr w:type="spellStart"/>
      <w:r w:rsidRPr="00D26E79">
        <w:rPr>
          <w:rFonts w:ascii="Arial" w:hAnsi="Arial"/>
          <w:color w:val="000000"/>
        </w:rPr>
        <w:t>po</w:t>
      </w:r>
      <w:proofErr w:type="spellEnd"/>
      <w:r w:rsidRPr="00D26E79">
        <w:rPr>
          <w:rFonts w:ascii="Arial" w:hAnsi="Arial"/>
          <w:color w:val="000000"/>
        </w:rPr>
        <w:t xml:space="preserve"> </w:t>
      </w:r>
      <w:proofErr w:type="spellStart"/>
      <w:r w:rsidRPr="00D26E79">
        <w:rPr>
          <w:rFonts w:ascii="Arial" w:hAnsi="Arial"/>
          <w:color w:val="000000"/>
        </w:rPr>
        <w:t>qd</w:t>
      </w:r>
      <w:proofErr w:type="spellEnd"/>
      <w:r w:rsidRPr="00D26E79">
        <w:rPr>
          <w:rFonts w:ascii="Arial" w:hAnsi="Arial"/>
          <w:color w:val="000000"/>
        </w:rPr>
        <w:t xml:space="preserve"> x 5 days </w:t>
      </w:r>
    </w:p>
    <w:p w14:paraId="10D1D405" w14:textId="77777777" w:rsidR="00D26E79" w:rsidRPr="00D26E79" w:rsidRDefault="00D26E79" w:rsidP="00D26E79">
      <w:pPr>
        <w:rPr>
          <w:rFonts w:ascii="Arial" w:hAnsi="Arial"/>
          <w:color w:val="000000"/>
        </w:rPr>
      </w:pPr>
      <w:r w:rsidRPr="00D26E79">
        <w:rPr>
          <w:rFonts w:ascii="Arial" w:hAnsi="Arial"/>
          <w:b/>
          <w:bCs/>
          <w:color w:val="000000"/>
        </w:rPr>
        <w:t xml:space="preserve">B. </w:t>
      </w:r>
      <w:r w:rsidRPr="00D26E79">
        <w:rPr>
          <w:rFonts w:ascii="Arial" w:hAnsi="Arial"/>
          <w:b/>
          <w:bCs/>
          <w:color w:val="000000"/>
          <w:u w:val="single"/>
        </w:rPr>
        <w:t>Steroid Pulse</w:t>
      </w:r>
      <w:r w:rsidRPr="00D26E79">
        <w:rPr>
          <w:rFonts w:ascii="Arial" w:hAnsi="Arial"/>
          <w:color w:val="000000"/>
          <w:u w:val="single"/>
        </w:rPr>
        <w:t xml:space="preserve"> </w:t>
      </w:r>
      <w:r w:rsidRPr="00D26E79">
        <w:rPr>
          <w:rFonts w:ascii="Arial" w:hAnsi="Arial"/>
          <w:color w:val="000000"/>
        </w:rPr>
        <w:br/>
        <w:t xml:space="preserve">10mg/kg IV </w:t>
      </w:r>
      <w:proofErr w:type="spellStart"/>
      <w:r w:rsidRPr="00D26E79">
        <w:rPr>
          <w:rFonts w:ascii="Arial" w:hAnsi="Arial"/>
          <w:color w:val="000000"/>
        </w:rPr>
        <w:t>Solu-medrol</w:t>
      </w:r>
      <w:proofErr w:type="spellEnd"/>
      <w:r w:rsidRPr="00D26E79">
        <w:rPr>
          <w:rFonts w:ascii="Arial" w:hAnsi="Arial"/>
          <w:color w:val="000000"/>
        </w:rPr>
        <w:t xml:space="preserve"> x 3 days (max dose = 1000mg)</w:t>
      </w:r>
      <w:r w:rsidRPr="00D26E79">
        <w:rPr>
          <w:rFonts w:ascii="Arial" w:hAnsi="Arial"/>
          <w:color w:val="000000"/>
        </w:rPr>
        <w:br/>
        <w:t xml:space="preserve">Prednisone 20mg </w:t>
      </w:r>
      <w:proofErr w:type="spellStart"/>
      <w:r w:rsidRPr="00D26E79">
        <w:rPr>
          <w:rFonts w:ascii="Arial" w:hAnsi="Arial"/>
          <w:color w:val="000000"/>
        </w:rPr>
        <w:t>po</w:t>
      </w:r>
      <w:proofErr w:type="spellEnd"/>
      <w:r w:rsidRPr="00D26E79">
        <w:rPr>
          <w:rFonts w:ascii="Arial" w:hAnsi="Arial"/>
          <w:color w:val="000000"/>
        </w:rPr>
        <w:t xml:space="preserve"> </w:t>
      </w:r>
      <w:proofErr w:type="spellStart"/>
      <w:r w:rsidRPr="00D26E79">
        <w:rPr>
          <w:rFonts w:ascii="Arial" w:hAnsi="Arial"/>
          <w:color w:val="000000"/>
        </w:rPr>
        <w:t>qd</w:t>
      </w:r>
      <w:proofErr w:type="spellEnd"/>
      <w:r w:rsidRPr="00D26E79">
        <w:rPr>
          <w:rFonts w:ascii="Arial" w:hAnsi="Arial"/>
          <w:color w:val="000000"/>
        </w:rPr>
        <w:t xml:space="preserve"> x 4 weeks, Prednisone 15mg </w:t>
      </w:r>
      <w:proofErr w:type="spellStart"/>
      <w:r w:rsidRPr="00D26E79">
        <w:rPr>
          <w:rFonts w:ascii="Arial" w:hAnsi="Arial"/>
          <w:color w:val="000000"/>
        </w:rPr>
        <w:t>po</w:t>
      </w:r>
      <w:proofErr w:type="spellEnd"/>
      <w:r w:rsidRPr="00D26E79">
        <w:rPr>
          <w:rFonts w:ascii="Arial" w:hAnsi="Arial"/>
          <w:color w:val="000000"/>
        </w:rPr>
        <w:t xml:space="preserve"> </w:t>
      </w:r>
      <w:proofErr w:type="spellStart"/>
      <w:r w:rsidRPr="00D26E79">
        <w:rPr>
          <w:rFonts w:ascii="Arial" w:hAnsi="Arial"/>
          <w:color w:val="000000"/>
        </w:rPr>
        <w:t>qd</w:t>
      </w:r>
      <w:proofErr w:type="spellEnd"/>
      <w:r w:rsidRPr="00D26E79">
        <w:rPr>
          <w:rFonts w:ascii="Arial" w:hAnsi="Arial"/>
          <w:color w:val="000000"/>
        </w:rPr>
        <w:t xml:space="preserve"> x 1 week, Prednisone 10mg </w:t>
      </w:r>
      <w:proofErr w:type="spellStart"/>
      <w:r w:rsidRPr="00D26E79">
        <w:rPr>
          <w:rFonts w:ascii="Arial" w:hAnsi="Arial"/>
          <w:color w:val="000000"/>
        </w:rPr>
        <w:t>po</w:t>
      </w:r>
      <w:proofErr w:type="spellEnd"/>
      <w:r w:rsidRPr="00D26E79">
        <w:rPr>
          <w:rFonts w:ascii="Arial" w:hAnsi="Arial"/>
          <w:color w:val="000000"/>
        </w:rPr>
        <w:t xml:space="preserve"> </w:t>
      </w:r>
      <w:proofErr w:type="spellStart"/>
      <w:r w:rsidRPr="00D26E79">
        <w:rPr>
          <w:rFonts w:ascii="Arial" w:hAnsi="Arial"/>
          <w:color w:val="000000"/>
        </w:rPr>
        <w:t>qd</w:t>
      </w:r>
      <w:proofErr w:type="spellEnd"/>
      <w:r w:rsidRPr="00D26E79">
        <w:rPr>
          <w:rFonts w:ascii="Arial" w:hAnsi="Arial"/>
          <w:color w:val="000000"/>
        </w:rPr>
        <w:t xml:space="preserve"> x 1 week, then 5mg </w:t>
      </w:r>
      <w:proofErr w:type="spellStart"/>
      <w:r w:rsidRPr="00D26E79">
        <w:rPr>
          <w:rFonts w:ascii="Arial" w:hAnsi="Arial"/>
          <w:color w:val="000000"/>
        </w:rPr>
        <w:t>po</w:t>
      </w:r>
      <w:proofErr w:type="spellEnd"/>
      <w:r w:rsidRPr="00D26E79">
        <w:rPr>
          <w:rFonts w:ascii="Arial" w:hAnsi="Arial"/>
          <w:color w:val="000000"/>
        </w:rPr>
        <w:t xml:space="preserve"> </w:t>
      </w:r>
      <w:proofErr w:type="spellStart"/>
      <w:r w:rsidRPr="00D26E79">
        <w:rPr>
          <w:rFonts w:ascii="Arial" w:hAnsi="Arial"/>
          <w:color w:val="000000"/>
        </w:rPr>
        <w:t>qd</w:t>
      </w:r>
      <w:proofErr w:type="spellEnd"/>
      <w:r w:rsidRPr="00D26E79">
        <w:rPr>
          <w:rFonts w:ascii="Arial" w:hAnsi="Arial"/>
          <w:color w:val="000000"/>
        </w:rPr>
        <w:t xml:space="preserve"> </w:t>
      </w:r>
      <w:r w:rsidRPr="00D26E79">
        <w:rPr>
          <w:rFonts w:ascii="Arial" w:hAnsi="Arial"/>
          <w:color w:val="000000"/>
        </w:rPr>
        <w:br/>
        <w:t>indefinitely</w:t>
      </w:r>
      <w:r w:rsidRPr="00D26E79">
        <w:rPr>
          <w:rFonts w:ascii="Arial" w:hAnsi="Arial"/>
          <w:color w:val="000000"/>
        </w:rPr>
        <w:br/>
      </w:r>
      <w:r w:rsidRPr="00D26E79">
        <w:rPr>
          <w:rFonts w:ascii="Arial" w:hAnsi="Arial"/>
          <w:color w:val="000000"/>
        </w:rPr>
        <w:br/>
      </w:r>
      <w:r w:rsidRPr="00D26E79">
        <w:rPr>
          <w:rFonts w:ascii="Arial" w:hAnsi="Arial"/>
          <w:b/>
          <w:bCs/>
          <w:color w:val="000000"/>
          <w:u w:val="single"/>
        </w:rPr>
        <w:t xml:space="preserve">C. Thymoglobulin </w:t>
      </w:r>
    </w:p>
    <w:p w14:paraId="5CBF8873" w14:textId="77777777" w:rsidR="00D26E79" w:rsidRPr="00D26E79" w:rsidRDefault="00D26E79" w:rsidP="00D26E79">
      <w:pPr>
        <w:ind w:left="720"/>
        <w:rPr>
          <w:rFonts w:ascii="Arial" w:hAnsi="Arial"/>
          <w:color w:val="000000"/>
        </w:rPr>
      </w:pPr>
      <w:r w:rsidRPr="00D26E79">
        <w:rPr>
          <w:rFonts w:ascii="Arial" w:hAnsi="Arial"/>
          <w:color w:val="000000"/>
        </w:rPr>
        <w:t xml:space="preserve">1. Obtain CXR PA and lateral within the 24 hours prior to beginning Thymoglobulin to evaluate for pulmonary edema </w:t>
      </w:r>
    </w:p>
    <w:p w14:paraId="3AE28C4E" w14:textId="77777777" w:rsidR="00D26E79" w:rsidRPr="00D26E79" w:rsidRDefault="00D26E79" w:rsidP="00D26E79">
      <w:pPr>
        <w:ind w:left="720"/>
        <w:rPr>
          <w:rFonts w:ascii="Arial" w:hAnsi="Arial"/>
          <w:color w:val="000000"/>
        </w:rPr>
      </w:pPr>
      <w:r w:rsidRPr="00D26E79">
        <w:rPr>
          <w:rFonts w:ascii="Arial" w:hAnsi="Arial"/>
          <w:color w:val="000000"/>
        </w:rPr>
        <w:t>2. Order rabbit anti-</w:t>
      </w:r>
      <w:proofErr w:type="spellStart"/>
      <w:r w:rsidRPr="00D26E79">
        <w:rPr>
          <w:rFonts w:ascii="Arial" w:hAnsi="Arial"/>
          <w:color w:val="000000"/>
        </w:rPr>
        <w:t>thymocyte</w:t>
      </w:r>
      <w:proofErr w:type="spellEnd"/>
      <w:r w:rsidRPr="00D26E79">
        <w:rPr>
          <w:rFonts w:ascii="Arial" w:hAnsi="Arial"/>
          <w:color w:val="000000"/>
        </w:rPr>
        <w:t xml:space="preserve"> globulin via transplant order set. Standard dose 1.5mg/kg, rounded to nearest 25mg </w:t>
      </w:r>
    </w:p>
    <w:p w14:paraId="202D4EBA" w14:textId="77777777" w:rsidR="00D26E79" w:rsidRPr="00D26E79" w:rsidRDefault="00D26E79" w:rsidP="00D26E79">
      <w:pPr>
        <w:ind w:left="2160"/>
        <w:rPr>
          <w:rFonts w:ascii="Arial" w:hAnsi="Arial"/>
          <w:color w:val="000000"/>
        </w:rPr>
      </w:pPr>
      <w:r w:rsidRPr="00D26E79">
        <w:rPr>
          <w:rFonts w:ascii="Arial" w:hAnsi="Arial"/>
          <w:color w:val="000000"/>
        </w:rPr>
        <w:t>a. Order standard Thymoglobulin for central administration.</w:t>
      </w:r>
      <w:r w:rsidRPr="00D26E79">
        <w:rPr>
          <w:rFonts w:ascii="Arial" w:hAnsi="Arial"/>
          <w:color w:val="000000"/>
        </w:rPr>
        <w:br/>
        <w:t xml:space="preserve">b. Order peripheral Thymoglobulin for peripheral administration (diluted to concentration of 0.25mg/ml or less with 1000 units heparin and 20mg hydrocortisone) </w:t>
      </w:r>
    </w:p>
    <w:p w14:paraId="0531E681" w14:textId="77777777" w:rsidR="00D26E79" w:rsidRPr="00D26E79" w:rsidRDefault="00D26E79" w:rsidP="00D26E79">
      <w:pPr>
        <w:ind w:left="720"/>
        <w:rPr>
          <w:rFonts w:ascii="Arial" w:hAnsi="Arial"/>
          <w:color w:val="000000"/>
        </w:rPr>
      </w:pPr>
      <w:r w:rsidRPr="00D26E79">
        <w:rPr>
          <w:rFonts w:ascii="Arial" w:hAnsi="Arial"/>
          <w:color w:val="000000"/>
        </w:rPr>
        <w:t xml:space="preserve">3. For the first 3 doses, </w:t>
      </w:r>
      <w:proofErr w:type="spellStart"/>
      <w:r w:rsidRPr="00D26E79">
        <w:rPr>
          <w:rFonts w:ascii="Arial" w:hAnsi="Arial"/>
          <w:color w:val="000000"/>
        </w:rPr>
        <w:t>premedicate</w:t>
      </w:r>
      <w:proofErr w:type="spellEnd"/>
      <w:r w:rsidRPr="00D26E79">
        <w:rPr>
          <w:rFonts w:ascii="Arial" w:hAnsi="Arial"/>
          <w:color w:val="000000"/>
        </w:rPr>
        <w:t xml:space="preserve"> 30 min prior to infusion with: </w:t>
      </w:r>
    </w:p>
    <w:p w14:paraId="6664876D" w14:textId="77777777" w:rsidR="00D26E79" w:rsidRPr="00D26E79" w:rsidRDefault="00D26E79" w:rsidP="00D26E79">
      <w:pPr>
        <w:ind w:left="2160"/>
        <w:rPr>
          <w:rFonts w:ascii="Arial" w:hAnsi="Arial"/>
          <w:color w:val="000000"/>
        </w:rPr>
      </w:pPr>
      <w:r w:rsidRPr="00D26E79">
        <w:rPr>
          <w:rFonts w:ascii="Arial" w:hAnsi="Arial"/>
          <w:color w:val="000000"/>
        </w:rPr>
        <w:t>a. Methylprednisolone 500mg IV Day 1, 250mg IV Day 2, 125mg IV Day3</w:t>
      </w:r>
      <w:r w:rsidRPr="00D26E79">
        <w:rPr>
          <w:rFonts w:ascii="Arial" w:hAnsi="Arial"/>
          <w:color w:val="000000"/>
        </w:rPr>
        <w:br/>
        <w:t xml:space="preserve">b. Diphenhydramine (Benadryl) 50mg PO/IV </w:t>
      </w:r>
      <w:r w:rsidRPr="00D26E79">
        <w:rPr>
          <w:rFonts w:ascii="Arial" w:hAnsi="Arial"/>
          <w:color w:val="000000"/>
        </w:rPr>
        <w:br/>
        <w:t xml:space="preserve">c. Acetaminophen (Tylenol) 650mg PO/PR </w:t>
      </w:r>
    </w:p>
    <w:p w14:paraId="39AC5304" w14:textId="77777777" w:rsidR="00D26E79" w:rsidRPr="00D26E79" w:rsidRDefault="00D26E79" w:rsidP="00D26E79">
      <w:pPr>
        <w:ind w:left="1440"/>
        <w:rPr>
          <w:rFonts w:ascii="Arial" w:hAnsi="Arial"/>
          <w:color w:val="000000"/>
        </w:rPr>
      </w:pPr>
      <w:r w:rsidRPr="00D26E79">
        <w:rPr>
          <w:rFonts w:ascii="Arial" w:hAnsi="Arial"/>
          <w:color w:val="000000"/>
        </w:rPr>
        <w:t>Consider premedication with acetaminophen and diphenhydramine prior to subsequent doses</w:t>
      </w:r>
    </w:p>
    <w:p w14:paraId="22F981F1" w14:textId="77777777" w:rsidR="00D26E79" w:rsidRPr="00D26E79" w:rsidRDefault="00D26E79" w:rsidP="00D26E79">
      <w:pPr>
        <w:ind w:left="720"/>
        <w:rPr>
          <w:rFonts w:ascii="Arial" w:hAnsi="Arial"/>
          <w:color w:val="000000"/>
        </w:rPr>
      </w:pPr>
      <w:r w:rsidRPr="00D26E79">
        <w:rPr>
          <w:rFonts w:ascii="Arial" w:hAnsi="Arial"/>
          <w:color w:val="000000"/>
        </w:rPr>
        <w:t xml:space="preserve">4. Monitor for cytokine release syndrome, which may occur with the first several doses. Ensure emergency medications are ordered, including: </w:t>
      </w:r>
    </w:p>
    <w:p w14:paraId="58FACAF3" w14:textId="77777777" w:rsidR="00D26E79" w:rsidRPr="00D26E79" w:rsidRDefault="00D26E79" w:rsidP="00D26E79">
      <w:pPr>
        <w:ind w:left="2160"/>
        <w:rPr>
          <w:rFonts w:ascii="Arial" w:hAnsi="Arial"/>
          <w:color w:val="000000"/>
        </w:rPr>
      </w:pPr>
      <w:r w:rsidRPr="00D26E79">
        <w:rPr>
          <w:rFonts w:ascii="Arial" w:hAnsi="Arial"/>
          <w:color w:val="000000"/>
        </w:rPr>
        <w:t>a. Epinephrine 1:1000 IV</w:t>
      </w:r>
      <w:r w:rsidRPr="00D26E79">
        <w:rPr>
          <w:rFonts w:ascii="Arial" w:hAnsi="Arial"/>
          <w:color w:val="000000"/>
        </w:rPr>
        <w:br/>
        <w:t>b. Hydrocortisone 100mg IV</w:t>
      </w:r>
      <w:r w:rsidRPr="00D26E79">
        <w:rPr>
          <w:rFonts w:ascii="Arial" w:hAnsi="Arial"/>
          <w:color w:val="000000"/>
        </w:rPr>
        <w:br/>
        <w:t>c. Diphenhydramine 50mg IV</w:t>
      </w:r>
      <w:r w:rsidRPr="00D26E79">
        <w:rPr>
          <w:rFonts w:ascii="Arial" w:hAnsi="Arial"/>
          <w:color w:val="000000"/>
        </w:rPr>
        <w:br/>
        <w:t>d. Albuterol inhaler</w:t>
      </w:r>
    </w:p>
    <w:p w14:paraId="2848A24C" w14:textId="5A1EB7CC" w:rsidR="00D26E79" w:rsidRPr="00436D0B" w:rsidRDefault="00D26E79" w:rsidP="00D26E79">
      <w:pPr>
        <w:ind w:left="720"/>
        <w:rPr>
          <w:rFonts w:ascii="Arial" w:hAnsi="Arial"/>
          <w:strike/>
          <w:color w:val="000000"/>
        </w:rPr>
      </w:pPr>
    </w:p>
    <w:p w14:paraId="0587052B" w14:textId="77777777" w:rsidR="00D26E79" w:rsidRPr="00D26E79" w:rsidRDefault="00D26E79" w:rsidP="00D26E79">
      <w:pPr>
        <w:ind w:left="720"/>
        <w:rPr>
          <w:rFonts w:ascii="Arial" w:hAnsi="Arial"/>
          <w:color w:val="000000"/>
        </w:rPr>
      </w:pPr>
      <w:r w:rsidRPr="00D26E79">
        <w:rPr>
          <w:rFonts w:ascii="Arial" w:hAnsi="Arial"/>
          <w:color w:val="000000"/>
        </w:rPr>
        <w:t>5. Prophylaxis and Monitoring:</w:t>
      </w:r>
    </w:p>
    <w:p w14:paraId="27DE0802" w14:textId="63D411E9" w:rsidR="00D26E79" w:rsidRPr="00D26E79" w:rsidRDefault="00D26E79" w:rsidP="00D26E79">
      <w:pPr>
        <w:ind w:left="720"/>
        <w:rPr>
          <w:rFonts w:ascii="Arial" w:hAnsi="Arial"/>
          <w:color w:val="000000"/>
        </w:rPr>
      </w:pPr>
      <w:r w:rsidRPr="00D26E79">
        <w:rPr>
          <w:rFonts w:ascii="Arial" w:hAnsi="Arial"/>
          <w:color w:val="000000"/>
        </w:rPr>
        <w:t>-Administer cytomegalovirus (CMV) prophylaxis for 3 months</w:t>
      </w:r>
      <w:r w:rsidR="006A165B">
        <w:rPr>
          <w:rFonts w:ascii="Arial" w:hAnsi="Arial"/>
          <w:color w:val="000000"/>
        </w:rPr>
        <w:t xml:space="preserve"> for moderate risk and 6 months for high risk</w:t>
      </w:r>
      <w:r w:rsidRPr="00D26E79">
        <w:rPr>
          <w:rFonts w:ascii="Arial" w:hAnsi="Arial"/>
          <w:color w:val="000000"/>
        </w:rPr>
        <w:t xml:space="preserve"> and PCP prophylaxis for 1 year after Thymoglobulin. Adjust for renal dysfunction: </w:t>
      </w:r>
    </w:p>
    <w:p w14:paraId="0BE5EFD9" w14:textId="77777777" w:rsidR="00D26E79" w:rsidRPr="00D26E79" w:rsidRDefault="00D26E79" w:rsidP="00D26E79">
      <w:pPr>
        <w:ind w:left="2160"/>
        <w:rPr>
          <w:rFonts w:ascii="Arial" w:hAnsi="Arial"/>
          <w:color w:val="000000"/>
        </w:rPr>
      </w:pPr>
      <w:r w:rsidRPr="00D26E79">
        <w:rPr>
          <w:rFonts w:ascii="Arial" w:hAnsi="Arial"/>
          <w:color w:val="000000"/>
        </w:rPr>
        <w:lastRenderedPageBreak/>
        <w:t xml:space="preserve">a. </w:t>
      </w:r>
      <w:proofErr w:type="spellStart"/>
      <w:r w:rsidRPr="00D26E79">
        <w:rPr>
          <w:rFonts w:ascii="Arial" w:hAnsi="Arial"/>
          <w:color w:val="000000"/>
        </w:rPr>
        <w:t>Valganciclovir</w:t>
      </w:r>
      <w:proofErr w:type="spellEnd"/>
      <w:r w:rsidRPr="00D26E79">
        <w:rPr>
          <w:rFonts w:ascii="Arial" w:hAnsi="Arial"/>
          <w:color w:val="000000"/>
        </w:rPr>
        <w:t xml:space="preserve"> 450mg </w:t>
      </w:r>
      <w:proofErr w:type="spellStart"/>
      <w:r w:rsidRPr="00D26E79">
        <w:rPr>
          <w:rFonts w:ascii="Arial" w:hAnsi="Arial"/>
          <w:color w:val="000000"/>
        </w:rPr>
        <w:t>po</w:t>
      </w:r>
      <w:proofErr w:type="spellEnd"/>
      <w:r w:rsidRPr="00D26E79">
        <w:rPr>
          <w:rFonts w:ascii="Arial" w:hAnsi="Arial"/>
          <w:color w:val="000000"/>
        </w:rPr>
        <w:t xml:space="preserve"> daily or Valtrex 1000mg daily(if CMV-/-)</w:t>
      </w:r>
      <w:r w:rsidRPr="00D26E79">
        <w:rPr>
          <w:rFonts w:ascii="Arial" w:hAnsi="Arial"/>
          <w:color w:val="000000"/>
        </w:rPr>
        <w:br/>
        <w:t xml:space="preserve">b. Bactrim SS 400/80mg daily or </w:t>
      </w:r>
      <w:proofErr w:type="spellStart"/>
      <w:r w:rsidRPr="00D26E79">
        <w:rPr>
          <w:rFonts w:ascii="Arial" w:hAnsi="Arial"/>
          <w:color w:val="000000"/>
        </w:rPr>
        <w:t>Mepron</w:t>
      </w:r>
      <w:proofErr w:type="spellEnd"/>
      <w:r w:rsidRPr="00D26E79">
        <w:rPr>
          <w:rFonts w:ascii="Arial" w:hAnsi="Arial"/>
          <w:color w:val="000000"/>
        </w:rPr>
        <w:t xml:space="preserve"> 1500mg daily or </w:t>
      </w:r>
      <w:proofErr w:type="spellStart"/>
      <w:r w:rsidRPr="00D26E79">
        <w:rPr>
          <w:rFonts w:ascii="Arial" w:hAnsi="Arial"/>
          <w:color w:val="000000"/>
        </w:rPr>
        <w:t>Dapsone</w:t>
      </w:r>
      <w:proofErr w:type="spellEnd"/>
      <w:r w:rsidRPr="00D26E79">
        <w:rPr>
          <w:rFonts w:ascii="Arial" w:hAnsi="Arial"/>
          <w:color w:val="000000"/>
        </w:rPr>
        <w:t xml:space="preserve"> 100mg daily</w:t>
      </w:r>
    </w:p>
    <w:p w14:paraId="0F2F1760" w14:textId="756260AE" w:rsidR="00D26E79" w:rsidRPr="006A165B" w:rsidRDefault="00D26E79" w:rsidP="00D26E79">
      <w:pPr>
        <w:ind w:left="720"/>
        <w:rPr>
          <w:rFonts w:ascii="Arial" w:hAnsi="Arial"/>
          <w:color w:val="000000"/>
        </w:rPr>
      </w:pPr>
      <w:r w:rsidRPr="00436D0B">
        <w:rPr>
          <w:rFonts w:ascii="Arial" w:hAnsi="Arial"/>
          <w:color w:val="000000"/>
        </w:rPr>
        <w:t>-Monitor BK virus level every month</w:t>
      </w:r>
      <w:r w:rsidR="00190B98">
        <w:rPr>
          <w:rFonts w:ascii="Arial" w:hAnsi="Arial"/>
          <w:color w:val="000000"/>
        </w:rPr>
        <w:t xml:space="preserve"> for six months</w:t>
      </w:r>
      <w:r w:rsidRPr="00436D0B">
        <w:rPr>
          <w:rFonts w:ascii="Arial" w:hAnsi="Arial"/>
          <w:color w:val="000000"/>
        </w:rPr>
        <w:t xml:space="preserve"> after Thymoglobulin administration.</w:t>
      </w:r>
    </w:p>
    <w:p w14:paraId="59BFFBAC" w14:textId="3526E222" w:rsidR="006A165B" w:rsidRDefault="006A165B" w:rsidP="00D26E79">
      <w:pPr>
        <w:ind w:left="720"/>
        <w:rPr>
          <w:rFonts w:ascii="Arial" w:hAnsi="Arial"/>
          <w:color w:val="000000"/>
        </w:rPr>
      </w:pPr>
      <w:r w:rsidRPr="00436D0B">
        <w:rPr>
          <w:rFonts w:ascii="Arial" w:hAnsi="Arial"/>
          <w:color w:val="000000"/>
        </w:rPr>
        <w:t>-Monitor CMV virus every month for three months after prophylaxis.</w:t>
      </w:r>
      <w:r>
        <w:rPr>
          <w:rFonts w:ascii="Arial" w:hAnsi="Arial"/>
          <w:color w:val="000000"/>
        </w:rPr>
        <w:t xml:space="preserve"> </w:t>
      </w:r>
    </w:p>
    <w:p w14:paraId="27DD438F" w14:textId="77777777" w:rsidR="00D26E79" w:rsidRPr="00D26E79" w:rsidRDefault="00D26E79" w:rsidP="00D26E79">
      <w:pPr>
        <w:ind w:left="720"/>
        <w:rPr>
          <w:rFonts w:ascii="Arial" w:hAnsi="Arial" w:cs="Arial"/>
          <w:color w:val="000000"/>
        </w:rPr>
      </w:pPr>
    </w:p>
    <w:p w14:paraId="1CA0728D" w14:textId="77777777" w:rsidR="00D26E79" w:rsidRPr="00D26E79" w:rsidRDefault="00D26E79" w:rsidP="00D26E79">
      <w:pPr>
        <w:ind w:left="720"/>
        <w:rPr>
          <w:rFonts w:ascii="Arial" w:hAnsi="Arial"/>
          <w:color w:val="000000"/>
        </w:rPr>
      </w:pPr>
      <w:r w:rsidRPr="00D26E79">
        <w:rPr>
          <w:rFonts w:ascii="Arial" w:hAnsi="Arial"/>
          <w:color w:val="000000"/>
        </w:rPr>
        <w:t xml:space="preserve">6. Continue all maintenance immunosuppression. </w:t>
      </w:r>
    </w:p>
    <w:p w14:paraId="5257594C" w14:textId="77777777" w:rsidR="00D26E79" w:rsidRPr="00D26E79" w:rsidRDefault="00D26E79" w:rsidP="00D26E79">
      <w:pPr>
        <w:spacing w:after="240"/>
        <w:ind w:left="720"/>
        <w:rPr>
          <w:rFonts w:ascii="Arial" w:hAnsi="Arial"/>
          <w:color w:val="000000"/>
        </w:rPr>
      </w:pPr>
      <w:r w:rsidRPr="00D26E79">
        <w:rPr>
          <w:rFonts w:ascii="Arial" w:hAnsi="Arial"/>
          <w:color w:val="000000"/>
        </w:rPr>
        <w:t>7. Add CBC differential to daily labs to monitor for neutropenia and lymphopenia. Consider the following guidance for dose adjustments: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0"/>
        <w:gridCol w:w="2970"/>
      </w:tblGrid>
      <w:tr w:rsidR="00D26E79" w:rsidRPr="00D26E79" w14:paraId="3F398514"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hideMark/>
          </w:tcPr>
          <w:p w14:paraId="7C099CC9" w14:textId="2F397229" w:rsidR="00D26E79" w:rsidRPr="00D26E79" w:rsidRDefault="00C932D7" w:rsidP="000733BF">
            <w:pPr>
              <w:rPr>
                <w:rFonts w:ascii="Arial" w:hAnsi="Arial"/>
                <w:color w:val="000000"/>
              </w:rPr>
            </w:pPr>
            <w:r w:rsidRPr="00C7714B">
              <w:rPr>
                <w:rFonts w:ascii="Arial" w:hAnsi="Arial"/>
                <w:noProof/>
                <w:color w:val="000000"/>
              </w:rPr>
              <w:drawing>
                <wp:inline distT="0" distB="0" distL="0" distR="0" wp14:anchorId="3F58C038" wp14:editId="527009EC">
                  <wp:extent cx="7620" cy="7620"/>
                  <wp:effectExtent l="0" t="0" r="0" b="0"/>
                  <wp:docPr id="2" name="Picture 1" descr="http://euhnotes.eushc.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hnotes.eushc.org/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925" w:type="dxa"/>
            <w:tcBorders>
              <w:top w:val="outset" w:sz="6" w:space="0" w:color="auto"/>
              <w:left w:val="outset" w:sz="6" w:space="0" w:color="auto"/>
              <w:bottom w:val="outset" w:sz="6" w:space="0" w:color="auto"/>
              <w:right w:val="outset" w:sz="6" w:space="0" w:color="auto"/>
            </w:tcBorders>
            <w:vAlign w:val="center"/>
            <w:hideMark/>
          </w:tcPr>
          <w:p w14:paraId="17D0C59B" w14:textId="77777777" w:rsidR="00D26E79" w:rsidRPr="00D26E79" w:rsidRDefault="00D26E79" w:rsidP="000733BF">
            <w:pPr>
              <w:jc w:val="center"/>
              <w:rPr>
                <w:rFonts w:ascii="Arial" w:hAnsi="Arial"/>
                <w:color w:val="000000"/>
              </w:rPr>
            </w:pPr>
            <w:r w:rsidRPr="00D26E79">
              <w:rPr>
                <w:rFonts w:ascii="Arial" w:hAnsi="Arial"/>
                <w:b/>
                <w:bCs/>
                <w:color w:val="000000"/>
              </w:rPr>
              <w:t>Thymoglobulin Dosage Adjustments</w:t>
            </w:r>
          </w:p>
        </w:tc>
      </w:tr>
      <w:tr w:rsidR="00D26E79" w:rsidRPr="00D26E79" w14:paraId="7E0F0E8E"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1CB32BD5" w14:textId="77777777" w:rsidR="00D26E79" w:rsidRPr="00D26E79" w:rsidRDefault="00D26E79" w:rsidP="000733BF">
            <w:pPr>
              <w:jc w:val="center"/>
              <w:rPr>
                <w:rFonts w:ascii="Arial" w:hAnsi="Arial"/>
                <w:color w:val="000000"/>
              </w:rPr>
            </w:pPr>
            <w:r w:rsidRPr="00D26E79">
              <w:rPr>
                <w:rFonts w:ascii="Arial" w:hAnsi="Arial"/>
                <w:b/>
                <w:bCs/>
                <w:color w:val="000000"/>
              </w:rPr>
              <w:t xml:space="preserve">WBC </w:t>
            </w:r>
          </w:p>
        </w:tc>
        <w:tc>
          <w:tcPr>
            <w:tcW w:w="2925" w:type="dxa"/>
            <w:tcBorders>
              <w:top w:val="outset" w:sz="6" w:space="0" w:color="auto"/>
              <w:left w:val="outset" w:sz="6" w:space="0" w:color="auto"/>
              <w:bottom w:val="outset" w:sz="6" w:space="0" w:color="auto"/>
              <w:right w:val="outset" w:sz="6" w:space="0" w:color="auto"/>
            </w:tcBorders>
            <w:vAlign w:val="bottom"/>
            <w:hideMark/>
          </w:tcPr>
          <w:p w14:paraId="20A53C82" w14:textId="77777777" w:rsidR="00D26E79" w:rsidRPr="00D26E79" w:rsidRDefault="00D26E79" w:rsidP="000733BF">
            <w:pPr>
              <w:jc w:val="center"/>
              <w:rPr>
                <w:rFonts w:ascii="Arial" w:hAnsi="Arial"/>
                <w:color w:val="000000"/>
              </w:rPr>
            </w:pPr>
          </w:p>
        </w:tc>
      </w:tr>
      <w:tr w:rsidR="00D26E79" w:rsidRPr="00D26E79" w14:paraId="7CB2A6B7"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22AE5ACB" w14:textId="77777777" w:rsidR="00D26E79" w:rsidRPr="00D26E79" w:rsidRDefault="00D26E79" w:rsidP="000733BF">
            <w:pPr>
              <w:jc w:val="center"/>
              <w:rPr>
                <w:rFonts w:ascii="Arial" w:hAnsi="Arial"/>
                <w:color w:val="000000"/>
              </w:rPr>
            </w:pPr>
            <w:r w:rsidRPr="00D26E79">
              <w:rPr>
                <w:rFonts w:ascii="Arial" w:hAnsi="Arial"/>
                <w:color w:val="000000"/>
              </w:rPr>
              <w:t xml:space="preserve">&gt;1.5 </w:t>
            </w:r>
          </w:p>
        </w:tc>
        <w:tc>
          <w:tcPr>
            <w:tcW w:w="2925" w:type="dxa"/>
            <w:tcBorders>
              <w:top w:val="outset" w:sz="6" w:space="0" w:color="auto"/>
              <w:left w:val="outset" w:sz="6" w:space="0" w:color="auto"/>
              <w:bottom w:val="outset" w:sz="6" w:space="0" w:color="auto"/>
              <w:right w:val="outset" w:sz="6" w:space="0" w:color="auto"/>
            </w:tcBorders>
            <w:vAlign w:val="bottom"/>
            <w:hideMark/>
          </w:tcPr>
          <w:p w14:paraId="15DDE54E" w14:textId="77777777" w:rsidR="00D26E79" w:rsidRPr="00D26E79" w:rsidRDefault="00D26E79" w:rsidP="000733BF">
            <w:pPr>
              <w:jc w:val="center"/>
              <w:rPr>
                <w:rFonts w:ascii="Arial" w:hAnsi="Arial"/>
                <w:color w:val="000000"/>
              </w:rPr>
            </w:pPr>
            <w:r w:rsidRPr="00D26E79">
              <w:rPr>
                <w:rFonts w:ascii="Arial" w:hAnsi="Arial"/>
                <w:color w:val="000000"/>
              </w:rPr>
              <w:t>no changes</w:t>
            </w:r>
          </w:p>
        </w:tc>
      </w:tr>
      <w:tr w:rsidR="00D26E79" w:rsidRPr="00D26E79" w14:paraId="459E6412"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6CB2C253" w14:textId="77777777" w:rsidR="00D26E79" w:rsidRPr="00D26E79" w:rsidRDefault="00D26E79" w:rsidP="000733BF">
            <w:pPr>
              <w:jc w:val="center"/>
              <w:rPr>
                <w:rFonts w:ascii="Arial" w:hAnsi="Arial"/>
                <w:color w:val="000000"/>
              </w:rPr>
            </w:pPr>
            <w:r w:rsidRPr="00D26E79">
              <w:rPr>
                <w:rFonts w:ascii="Arial" w:hAnsi="Arial"/>
                <w:color w:val="000000"/>
              </w:rPr>
              <w:t xml:space="preserve">1 - 1.5 </w:t>
            </w:r>
          </w:p>
        </w:tc>
        <w:tc>
          <w:tcPr>
            <w:tcW w:w="2925" w:type="dxa"/>
            <w:tcBorders>
              <w:top w:val="outset" w:sz="6" w:space="0" w:color="auto"/>
              <w:left w:val="outset" w:sz="6" w:space="0" w:color="auto"/>
              <w:bottom w:val="outset" w:sz="6" w:space="0" w:color="auto"/>
              <w:right w:val="outset" w:sz="6" w:space="0" w:color="auto"/>
            </w:tcBorders>
            <w:vAlign w:val="bottom"/>
            <w:hideMark/>
          </w:tcPr>
          <w:p w14:paraId="20D5D022" w14:textId="77777777" w:rsidR="00D26E79" w:rsidRPr="00D26E79" w:rsidRDefault="00D26E79" w:rsidP="000733BF">
            <w:pPr>
              <w:jc w:val="center"/>
              <w:rPr>
                <w:rFonts w:ascii="Arial" w:hAnsi="Arial"/>
                <w:color w:val="000000"/>
              </w:rPr>
            </w:pPr>
            <w:r w:rsidRPr="00D26E79">
              <w:rPr>
                <w:rFonts w:ascii="Arial" w:hAnsi="Arial"/>
                <w:color w:val="000000"/>
              </w:rPr>
              <w:t xml:space="preserve">1/2 </w:t>
            </w:r>
            <w:proofErr w:type="spellStart"/>
            <w:r w:rsidRPr="00D26E79">
              <w:rPr>
                <w:rFonts w:ascii="Arial" w:hAnsi="Arial"/>
                <w:color w:val="000000"/>
              </w:rPr>
              <w:t>thymo</w:t>
            </w:r>
            <w:proofErr w:type="spellEnd"/>
            <w:r w:rsidRPr="00D26E79">
              <w:rPr>
                <w:rFonts w:ascii="Arial" w:hAnsi="Arial"/>
                <w:color w:val="000000"/>
              </w:rPr>
              <w:t xml:space="preserve"> dose</w:t>
            </w:r>
          </w:p>
        </w:tc>
      </w:tr>
      <w:tr w:rsidR="00D26E79" w:rsidRPr="00D26E79" w14:paraId="74891D0B"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6871D776" w14:textId="77777777" w:rsidR="00D26E79" w:rsidRPr="00D26E79" w:rsidRDefault="00D26E79" w:rsidP="000733BF">
            <w:pPr>
              <w:jc w:val="center"/>
              <w:rPr>
                <w:rFonts w:ascii="Arial" w:hAnsi="Arial"/>
                <w:color w:val="000000"/>
              </w:rPr>
            </w:pPr>
            <w:r w:rsidRPr="00D26E79">
              <w:rPr>
                <w:rFonts w:ascii="Arial" w:hAnsi="Arial"/>
                <w:color w:val="000000"/>
              </w:rPr>
              <w:t>≤ 1.0</w:t>
            </w:r>
          </w:p>
        </w:tc>
        <w:tc>
          <w:tcPr>
            <w:tcW w:w="2925" w:type="dxa"/>
            <w:tcBorders>
              <w:top w:val="outset" w:sz="6" w:space="0" w:color="auto"/>
              <w:left w:val="outset" w:sz="6" w:space="0" w:color="auto"/>
              <w:bottom w:val="outset" w:sz="6" w:space="0" w:color="auto"/>
              <w:right w:val="outset" w:sz="6" w:space="0" w:color="auto"/>
            </w:tcBorders>
            <w:vAlign w:val="bottom"/>
            <w:hideMark/>
          </w:tcPr>
          <w:p w14:paraId="7263AA4C" w14:textId="77777777" w:rsidR="00D26E79" w:rsidRPr="00D26E79" w:rsidRDefault="00D26E79" w:rsidP="000733BF">
            <w:pPr>
              <w:jc w:val="center"/>
              <w:rPr>
                <w:rFonts w:ascii="Arial" w:hAnsi="Arial"/>
                <w:color w:val="000000"/>
              </w:rPr>
            </w:pPr>
            <w:r w:rsidRPr="00D26E79">
              <w:rPr>
                <w:rFonts w:ascii="Arial" w:hAnsi="Arial"/>
                <w:color w:val="000000"/>
              </w:rPr>
              <w:t xml:space="preserve">1/2 dose &amp; </w:t>
            </w:r>
            <w:proofErr w:type="spellStart"/>
            <w:r w:rsidRPr="00D26E79">
              <w:rPr>
                <w:rFonts w:ascii="Arial" w:hAnsi="Arial"/>
                <w:color w:val="000000"/>
              </w:rPr>
              <w:t>neupogen</w:t>
            </w:r>
            <w:proofErr w:type="spellEnd"/>
          </w:p>
        </w:tc>
      </w:tr>
      <w:tr w:rsidR="00D26E79" w:rsidRPr="00D26E79" w14:paraId="07848498"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4B2C1D84" w14:textId="77777777" w:rsidR="00D26E79" w:rsidRPr="00D26E79" w:rsidRDefault="00D26E79" w:rsidP="000733BF">
            <w:pPr>
              <w:jc w:val="center"/>
              <w:rPr>
                <w:rFonts w:ascii="Arial" w:hAnsi="Arial"/>
                <w:color w:val="000000"/>
              </w:rPr>
            </w:pPr>
            <w:r w:rsidRPr="00D26E79">
              <w:rPr>
                <w:rFonts w:ascii="Arial" w:hAnsi="Arial"/>
                <w:color w:val="000000"/>
              </w:rPr>
              <w:t>ANC</w:t>
            </w:r>
            <w:r w:rsidRPr="00D26E79">
              <w:rPr>
                <w:rFonts w:ascii="Arial" w:hAnsi="Arial"/>
                <w:color w:val="000000"/>
                <w:u w:val="single"/>
              </w:rPr>
              <w:t>&lt;</w:t>
            </w:r>
            <w:r w:rsidRPr="00D26E79">
              <w:rPr>
                <w:rFonts w:ascii="Arial" w:hAnsi="Arial"/>
                <w:color w:val="000000"/>
              </w:rPr>
              <w:t xml:space="preserve">500 </w:t>
            </w:r>
          </w:p>
        </w:tc>
        <w:tc>
          <w:tcPr>
            <w:tcW w:w="2925" w:type="dxa"/>
            <w:tcBorders>
              <w:top w:val="outset" w:sz="6" w:space="0" w:color="auto"/>
              <w:left w:val="outset" w:sz="6" w:space="0" w:color="auto"/>
              <w:bottom w:val="outset" w:sz="6" w:space="0" w:color="auto"/>
              <w:right w:val="outset" w:sz="6" w:space="0" w:color="auto"/>
            </w:tcBorders>
            <w:vAlign w:val="bottom"/>
            <w:hideMark/>
          </w:tcPr>
          <w:p w14:paraId="767527CB" w14:textId="77777777" w:rsidR="00D26E79" w:rsidRPr="00D26E79" w:rsidRDefault="00D26E79" w:rsidP="000733BF">
            <w:pPr>
              <w:jc w:val="center"/>
              <w:rPr>
                <w:rFonts w:ascii="Arial" w:hAnsi="Arial"/>
                <w:color w:val="000000"/>
              </w:rPr>
            </w:pPr>
            <w:r w:rsidRPr="00D26E79">
              <w:rPr>
                <w:rFonts w:ascii="Arial" w:hAnsi="Arial"/>
                <w:color w:val="000000"/>
              </w:rPr>
              <w:t xml:space="preserve">hold </w:t>
            </w:r>
            <w:proofErr w:type="spellStart"/>
            <w:r w:rsidRPr="00D26E79">
              <w:rPr>
                <w:rFonts w:ascii="Arial" w:hAnsi="Arial"/>
                <w:color w:val="000000"/>
              </w:rPr>
              <w:t>thymo</w:t>
            </w:r>
            <w:proofErr w:type="spellEnd"/>
            <w:r w:rsidRPr="00D26E79">
              <w:rPr>
                <w:rFonts w:ascii="Arial" w:hAnsi="Arial"/>
                <w:color w:val="000000"/>
              </w:rPr>
              <w:t xml:space="preserve"> and give </w:t>
            </w:r>
            <w:proofErr w:type="spellStart"/>
            <w:r w:rsidRPr="00D26E79">
              <w:rPr>
                <w:rFonts w:ascii="Arial" w:hAnsi="Arial"/>
                <w:color w:val="000000"/>
              </w:rPr>
              <w:t>neupogen</w:t>
            </w:r>
            <w:proofErr w:type="spellEnd"/>
          </w:p>
        </w:tc>
      </w:tr>
      <w:tr w:rsidR="00D26E79" w:rsidRPr="00D26E79" w14:paraId="147F1875"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01DF79CA" w14:textId="77777777" w:rsidR="00D26E79" w:rsidRPr="00D26E79" w:rsidRDefault="00D26E79" w:rsidP="000733BF">
            <w:pPr>
              <w:jc w:val="center"/>
              <w:rPr>
                <w:rFonts w:ascii="Arial" w:hAnsi="Arial"/>
                <w:color w:val="000000"/>
              </w:rPr>
            </w:pPr>
            <w:r w:rsidRPr="00D26E79">
              <w:rPr>
                <w:rFonts w:ascii="Arial" w:hAnsi="Arial"/>
                <w:b/>
                <w:bCs/>
                <w:color w:val="000000"/>
              </w:rPr>
              <w:t xml:space="preserve">PLT </w:t>
            </w:r>
          </w:p>
        </w:tc>
        <w:tc>
          <w:tcPr>
            <w:tcW w:w="2925" w:type="dxa"/>
            <w:tcBorders>
              <w:top w:val="outset" w:sz="6" w:space="0" w:color="auto"/>
              <w:left w:val="outset" w:sz="6" w:space="0" w:color="auto"/>
              <w:bottom w:val="outset" w:sz="6" w:space="0" w:color="auto"/>
              <w:right w:val="outset" w:sz="6" w:space="0" w:color="auto"/>
            </w:tcBorders>
            <w:vAlign w:val="bottom"/>
            <w:hideMark/>
          </w:tcPr>
          <w:p w14:paraId="754FE131" w14:textId="77777777" w:rsidR="00D26E79" w:rsidRPr="00D26E79" w:rsidRDefault="00D26E79" w:rsidP="000733BF">
            <w:pPr>
              <w:jc w:val="center"/>
              <w:rPr>
                <w:rFonts w:ascii="Arial" w:hAnsi="Arial"/>
                <w:color w:val="000000"/>
              </w:rPr>
            </w:pPr>
          </w:p>
        </w:tc>
      </w:tr>
      <w:tr w:rsidR="00D26E79" w:rsidRPr="00D26E79" w14:paraId="370BD288"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6AD9EA16" w14:textId="77777777" w:rsidR="00D26E79" w:rsidRPr="00D26E79" w:rsidRDefault="00D26E79" w:rsidP="000733BF">
            <w:pPr>
              <w:jc w:val="center"/>
              <w:rPr>
                <w:rFonts w:ascii="Arial" w:hAnsi="Arial"/>
                <w:color w:val="000000"/>
              </w:rPr>
            </w:pPr>
            <w:r w:rsidRPr="00D26E79">
              <w:rPr>
                <w:rFonts w:ascii="Arial" w:hAnsi="Arial"/>
                <w:color w:val="000000"/>
              </w:rPr>
              <w:t xml:space="preserve">&gt; 60K </w:t>
            </w:r>
          </w:p>
        </w:tc>
        <w:tc>
          <w:tcPr>
            <w:tcW w:w="2925" w:type="dxa"/>
            <w:tcBorders>
              <w:top w:val="outset" w:sz="6" w:space="0" w:color="auto"/>
              <w:left w:val="outset" w:sz="6" w:space="0" w:color="auto"/>
              <w:bottom w:val="outset" w:sz="6" w:space="0" w:color="auto"/>
              <w:right w:val="outset" w:sz="6" w:space="0" w:color="auto"/>
            </w:tcBorders>
            <w:vAlign w:val="bottom"/>
            <w:hideMark/>
          </w:tcPr>
          <w:p w14:paraId="44F646ED" w14:textId="77777777" w:rsidR="00D26E79" w:rsidRPr="00D26E79" w:rsidRDefault="00D26E79" w:rsidP="000733BF">
            <w:pPr>
              <w:jc w:val="center"/>
              <w:rPr>
                <w:rFonts w:ascii="Arial" w:hAnsi="Arial"/>
                <w:color w:val="000000"/>
              </w:rPr>
            </w:pPr>
            <w:r w:rsidRPr="00D26E79">
              <w:rPr>
                <w:rFonts w:ascii="Arial" w:hAnsi="Arial"/>
                <w:color w:val="000000"/>
              </w:rPr>
              <w:t>no changes</w:t>
            </w:r>
          </w:p>
        </w:tc>
      </w:tr>
      <w:tr w:rsidR="00D26E79" w:rsidRPr="00B83C4E" w14:paraId="19C74922"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5B987C7A" w14:textId="77777777" w:rsidR="00D26E79" w:rsidRPr="00B83C4E" w:rsidRDefault="00D26E79" w:rsidP="000733BF">
            <w:pPr>
              <w:jc w:val="center"/>
              <w:rPr>
                <w:rFonts w:ascii="Arial" w:hAnsi="Arial"/>
                <w:color w:val="000000"/>
              </w:rPr>
            </w:pPr>
            <w:r w:rsidRPr="00B83C4E">
              <w:rPr>
                <w:rFonts w:ascii="Arial" w:hAnsi="Arial"/>
                <w:color w:val="000000"/>
              </w:rPr>
              <w:t xml:space="preserve">30-60K </w:t>
            </w:r>
          </w:p>
        </w:tc>
        <w:tc>
          <w:tcPr>
            <w:tcW w:w="2925" w:type="dxa"/>
            <w:tcBorders>
              <w:top w:val="outset" w:sz="6" w:space="0" w:color="auto"/>
              <w:left w:val="outset" w:sz="6" w:space="0" w:color="auto"/>
              <w:bottom w:val="outset" w:sz="6" w:space="0" w:color="auto"/>
              <w:right w:val="outset" w:sz="6" w:space="0" w:color="auto"/>
            </w:tcBorders>
            <w:vAlign w:val="bottom"/>
            <w:hideMark/>
          </w:tcPr>
          <w:p w14:paraId="03EC42B2" w14:textId="77777777" w:rsidR="00D26E79" w:rsidRPr="00B83C4E" w:rsidRDefault="00D26E79" w:rsidP="000733BF">
            <w:pPr>
              <w:jc w:val="center"/>
              <w:rPr>
                <w:rFonts w:ascii="Arial" w:hAnsi="Arial"/>
                <w:color w:val="000000"/>
              </w:rPr>
            </w:pPr>
            <w:r w:rsidRPr="00B83C4E">
              <w:rPr>
                <w:rFonts w:ascii="Arial" w:hAnsi="Arial"/>
                <w:color w:val="000000"/>
              </w:rPr>
              <w:t xml:space="preserve">1/2 </w:t>
            </w:r>
            <w:proofErr w:type="spellStart"/>
            <w:r w:rsidRPr="00B83C4E">
              <w:rPr>
                <w:rFonts w:ascii="Arial" w:hAnsi="Arial"/>
                <w:color w:val="000000"/>
              </w:rPr>
              <w:t>thymo</w:t>
            </w:r>
            <w:proofErr w:type="spellEnd"/>
            <w:r w:rsidRPr="00B83C4E">
              <w:rPr>
                <w:rFonts w:ascii="Arial" w:hAnsi="Arial"/>
                <w:color w:val="000000"/>
              </w:rPr>
              <w:t xml:space="preserve"> dose</w:t>
            </w:r>
          </w:p>
        </w:tc>
      </w:tr>
      <w:tr w:rsidR="00D26E79" w:rsidRPr="00B83C4E" w14:paraId="247F0047" w14:textId="77777777" w:rsidTr="000733BF">
        <w:trPr>
          <w:tblCellSpacing w:w="15" w:type="dxa"/>
        </w:trPr>
        <w:tc>
          <w:tcPr>
            <w:tcW w:w="2925" w:type="dxa"/>
            <w:tcBorders>
              <w:top w:val="outset" w:sz="6" w:space="0" w:color="auto"/>
              <w:left w:val="outset" w:sz="6" w:space="0" w:color="auto"/>
              <w:bottom w:val="outset" w:sz="6" w:space="0" w:color="auto"/>
              <w:right w:val="outset" w:sz="6" w:space="0" w:color="auto"/>
            </w:tcBorders>
            <w:vAlign w:val="bottom"/>
            <w:hideMark/>
          </w:tcPr>
          <w:p w14:paraId="0D4D661C" w14:textId="77777777" w:rsidR="00D26E79" w:rsidRPr="00B83C4E" w:rsidRDefault="00D26E79" w:rsidP="000733BF">
            <w:pPr>
              <w:jc w:val="center"/>
              <w:rPr>
                <w:rFonts w:ascii="Arial" w:hAnsi="Arial"/>
                <w:color w:val="000000"/>
              </w:rPr>
            </w:pPr>
            <w:r w:rsidRPr="00B83C4E">
              <w:rPr>
                <w:rFonts w:ascii="Arial" w:hAnsi="Arial"/>
                <w:color w:val="000000"/>
              </w:rPr>
              <w:t xml:space="preserve">&lt;30K </w:t>
            </w:r>
          </w:p>
        </w:tc>
        <w:tc>
          <w:tcPr>
            <w:tcW w:w="2925" w:type="dxa"/>
            <w:tcBorders>
              <w:top w:val="outset" w:sz="6" w:space="0" w:color="auto"/>
              <w:left w:val="outset" w:sz="6" w:space="0" w:color="auto"/>
              <w:bottom w:val="outset" w:sz="6" w:space="0" w:color="auto"/>
              <w:right w:val="outset" w:sz="6" w:space="0" w:color="auto"/>
            </w:tcBorders>
            <w:vAlign w:val="bottom"/>
            <w:hideMark/>
          </w:tcPr>
          <w:p w14:paraId="6D5301F5" w14:textId="77777777" w:rsidR="00D26E79" w:rsidRPr="00B83C4E" w:rsidRDefault="00D26E79" w:rsidP="000733BF">
            <w:pPr>
              <w:jc w:val="center"/>
              <w:rPr>
                <w:rFonts w:ascii="Arial" w:hAnsi="Arial"/>
                <w:color w:val="000000"/>
              </w:rPr>
            </w:pPr>
            <w:r w:rsidRPr="00B83C4E">
              <w:rPr>
                <w:rFonts w:ascii="Arial" w:hAnsi="Arial"/>
                <w:color w:val="000000"/>
              </w:rPr>
              <w:t xml:space="preserve">hold </w:t>
            </w:r>
            <w:proofErr w:type="spellStart"/>
            <w:r w:rsidRPr="00B83C4E">
              <w:rPr>
                <w:rFonts w:ascii="Arial" w:hAnsi="Arial"/>
                <w:color w:val="000000"/>
              </w:rPr>
              <w:t>thymo</w:t>
            </w:r>
            <w:proofErr w:type="spellEnd"/>
          </w:p>
        </w:tc>
      </w:tr>
    </w:tbl>
    <w:p w14:paraId="1E3472A0" w14:textId="77777777" w:rsidR="008D276B" w:rsidRPr="00B83C4E" w:rsidRDefault="008D276B" w:rsidP="00D26E79">
      <w:pPr>
        <w:rPr>
          <w:rFonts w:ascii="Arial" w:hAnsi="Arial"/>
          <w:color w:val="000000"/>
        </w:rPr>
      </w:pPr>
      <w:r w:rsidRPr="00B83C4E">
        <w:rPr>
          <w:rFonts w:ascii="Arial" w:hAnsi="Arial"/>
          <w:color w:val="000000"/>
        </w:rPr>
        <w:t xml:space="preserve">     </w:t>
      </w:r>
    </w:p>
    <w:p w14:paraId="6AB7EFDC" w14:textId="2F4E4E12" w:rsidR="008D276B" w:rsidRDefault="008D276B" w:rsidP="00D26E79">
      <w:pPr>
        <w:rPr>
          <w:rFonts w:ascii="Arial" w:hAnsi="Arial"/>
          <w:color w:val="000000"/>
        </w:rPr>
      </w:pPr>
      <w:r w:rsidRPr="00B83C4E">
        <w:rPr>
          <w:rFonts w:ascii="Arial" w:hAnsi="Arial"/>
          <w:color w:val="000000"/>
        </w:rPr>
        <w:t xml:space="preserve">           8.  Repeat biopsy 1 month following treatment with Thymoglobulin unless specific contraindications or concerns with re-biopsy.</w:t>
      </w:r>
      <w:r>
        <w:rPr>
          <w:rFonts w:ascii="Arial" w:hAnsi="Arial"/>
          <w:color w:val="000000"/>
        </w:rPr>
        <w:t xml:space="preserve">    </w:t>
      </w:r>
    </w:p>
    <w:p w14:paraId="373A6967" w14:textId="2D79B792" w:rsidR="00D26E79" w:rsidRPr="00D26E79" w:rsidRDefault="00D26E79" w:rsidP="00D26E79">
      <w:pPr>
        <w:rPr>
          <w:rFonts w:ascii="Arial" w:hAnsi="Arial"/>
          <w:color w:val="000000"/>
        </w:rPr>
      </w:pPr>
      <w:r w:rsidRPr="00D26E79">
        <w:rPr>
          <w:rFonts w:ascii="Arial" w:hAnsi="Arial"/>
          <w:color w:val="000000"/>
        </w:rPr>
        <w:br/>
      </w:r>
      <w:r w:rsidRPr="00D26E79">
        <w:rPr>
          <w:rFonts w:ascii="Arial" w:hAnsi="Arial"/>
          <w:b/>
          <w:bCs/>
          <w:color w:val="000000"/>
          <w:u w:val="single"/>
        </w:rPr>
        <w:t xml:space="preserve">D. Plasmapheresis / IVIG </w:t>
      </w:r>
    </w:p>
    <w:p w14:paraId="56EA6471" w14:textId="77777777" w:rsidR="00D26E79" w:rsidRPr="00D26E79" w:rsidRDefault="00D26E79" w:rsidP="00D26E79">
      <w:pPr>
        <w:ind w:left="720"/>
        <w:rPr>
          <w:rFonts w:ascii="Arial" w:hAnsi="Arial"/>
          <w:color w:val="000000"/>
        </w:rPr>
      </w:pPr>
      <w:r w:rsidRPr="00D26E79">
        <w:rPr>
          <w:rFonts w:ascii="Arial" w:hAnsi="Arial"/>
          <w:color w:val="000000"/>
        </w:rPr>
        <w:t xml:space="preserve">1. Consult Transfusion Medicine for plasmapheresis: </w:t>
      </w:r>
    </w:p>
    <w:p w14:paraId="791C1C96" w14:textId="77777777" w:rsidR="00D26E79" w:rsidRPr="00D26E79" w:rsidRDefault="00D26E79" w:rsidP="00D26E79">
      <w:pPr>
        <w:ind w:left="2160"/>
        <w:rPr>
          <w:rFonts w:ascii="Arial" w:hAnsi="Arial"/>
          <w:color w:val="000000"/>
        </w:rPr>
      </w:pPr>
      <w:r w:rsidRPr="00D26E79">
        <w:rPr>
          <w:rFonts w:ascii="Arial" w:hAnsi="Arial"/>
          <w:color w:val="000000"/>
        </w:rPr>
        <w:t xml:space="preserve">a. Plasmapheresis every other day for a total of 5 therapies. </w:t>
      </w:r>
    </w:p>
    <w:p w14:paraId="4681A904" w14:textId="77777777" w:rsidR="00D26E79" w:rsidRPr="00D26E79" w:rsidRDefault="00D26E79" w:rsidP="00D26E79">
      <w:pPr>
        <w:ind w:left="720"/>
        <w:rPr>
          <w:rFonts w:ascii="Arial" w:hAnsi="Arial"/>
          <w:color w:val="000000"/>
        </w:rPr>
      </w:pPr>
      <w:r w:rsidRPr="00D26E79">
        <w:rPr>
          <w:rFonts w:ascii="Arial" w:hAnsi="Arial"/>
          <w:color w:val="000000"/>
        </w:rPr>
        <w:t xml:space="preserve">2. Order sucrose-free IVIG 100mg/kg IV following first 4 sessions of plasmapheresis (rounded to nearest 5g) </w:t>
      </w:r>
    </w:p>
    <w:p w14:paraId="773DE879" w14:textId="77777777" w:rsidR="00D26E79" w:rsidRPr="00D26E79" w:rsidRDefault="00D26E79" w:rsidP="00D26E79">
      <w:pPr>
        <w:ind w:left="2160"/>
        <w:rPr>
          <w:rFonts w:ascii="Arial" w:hAnsi="Arial"/>
          <w:color w:val="000000"/>
        </w:rPr>
      </w:pPr>
      <w:r w:rsidRPr="00D26E79">
        <w:rPr>
          <w:rFonts w:ascii="Arial" w:hAnsi="Arial"/>
          <w:color w:val="000000"/>
        </w:rPr>
        <w:t>a. Administer dose over 2 hours</w:t>
      </w:r>
    </w:p>
    <w:p w14:paraId="1D0C6AFC" w14:textId="77777777" w:rsidR="00D26E79" w:rsidRPr="00D26E79" w:rsidRDefault="00D26E79" w:rsidP="00D26E79">
      <w:pPr>
        <w:ind w:left="720"/>
        <w:rPr>
          <w:rFonts w:ascii="Arial" w:hAnsi="Arial"/>
          <w:color w:val="000000"/>
        </w:rPr>
      </w:pPr>
      <w:r w:rsidRPr="00D26E79">
        <w:rPr>
          <w:rFonts w:ascii="Arial" w:hAnsi="Arial"/>
          <w:color w:val="000000"/>
        </w:rPr>
        <w:t>3. Order sucrose-free IVIG 2g/kg IV following 5</w:t>
      </w:r>
      <w:r w:rsidRPr="00D26E79">
        <w:rPr>
          <w:rFonts w:ascii="Arial" w:hAnsi="Arial"/>
          <w:color w:val="000000"/>
          <w:vertAlign w:val="superscript"/>
        </w:rPr>
        <w:t>th</w:t>
      </w:r>
      <w:r w:rsidRPr="00D26E79">
        <w:rPr>
          <w:rFonts w:ascii="Arial" w:hAnsi="Arial"/>
          <w:color w:val="000000"/>
        </w:rPr>
        <w:t xml:space="preserve"> session of plasmapheresis (max dose = 140g, rounded to nearest 5g) </w:t>
      </w:r>
    </w:p>
    <w:p w14:paraId="0071174C" w14:textId="77777777" w:rsidR="00D26E79" w:rsidRPr="00D26E79" w:rsidRDefault="00D26E79" w:rsidP="00D26E79">
      <w:pPr>
        <w:ind w:left="2160"/>
        <w:rPr>
          <w:rFonts w:ascii="Arial" w:hAnsi="Arial"/>
          <w:color w:val="000000"/>
        </w:rPr>
      </w:pPr>
      <w:r w:rsidRPr="00D26E79">
        <w:rPr>
          <w:rFonts w:ascii="Arial" w:hAnsi="Arial"/>
          <w:color w:val="000000"/>
        </w:rPr>
        <w:t>a. Dose may be split into 2 doses of 1mg/kg IV (max 70g) to be infused on separate days</w:t>
      </w:r>
      <w:r w:rsidRPr="00D26E79">
        <w:rPr>
          <w:rFonts w:ascii="Arial" w:hAnsi="Arial"/>
          <w:color w:val="000000"/>
        </w:rPr>
        <w:br/>
        <w:t>b. Begin infusion at 50ml/</w:t>
      </w:r>
      <w:proofErr w:type="spellStart"/>
      <w:r w:rsidRPr="00D26E79">
        <w:rPr>
          <w:rFonts w:ascii="Arial" w:hAnsi="Arial"/>
          <w:color w:val="000000"/>
        </w:rPr>
        <w:t>hr</w:t>
      </w:r>
      <w:proofErr w:type="spellEnd"/>
      <w:r w:rsidRPr="00D26E79">
        <w:rPr>
          <w:rFonts w:ascii="Arial" w:hAnsi="Arial"/>
          <w:color w:val="000000"/>
        </w:rPr>
        <w:t xml:space="preserve"> and double rate every 30 min as tolerated to a max infusion rate of 250ml/</w:t>
      </w:r>
      <w:proofErr w:type="spellStart"/>
      <w:r w:rsidRPr="00D26E79">
        <w:rPr>
          <w:rFonts w:ascii="Arial" w:hAnsi="Arial"/>
          <w:color w:val="000000"/>
        </w:rPr>
        <w:t>hr</w:t>
      </w:r>
      <w:proofErr w:type="spellEnd"/>
      <w:r w:rsidRPr="00D26E79">
        <w:rPr>
          <w:rFonts w:ascii="Arial" w:hAnsi="Arial"/>
          <w:color w:val="000000"/>
        </w:rPr>
        <w:t xml:space="preserve"> </w:t>
      </w:r>
    </w:p>
    <w:p w14:paraId="0D97789B" w14:textId="77777777" w:rsidR="00D26E79" w:rsidRPr="00D26E79" w:rsidRDefault="00D26E79" w:rsidP="00D26E79">
      <w:pPr>
        <w:ind w:left="720"/>
        <w:rPr>
          <w:rFonts w:ascii="Arial" w:hAnsi="Arial"/>
          <w:color w:val="000000"/>
        </w:rPr>
      </w:pPr>
      <w:r w:rsidRPr="00D26E79">
        <w:rPr>
          <w:rFonts w:ascii="Arial" w:hAnsi="Arial"/>
          <w:color w:val="000000"/>
        </w:rPr>
        <w:t>4. IVIG should be given AFTER plasmapheresis, but prior to Thymoglobulin (if prescribed)</w:t>
      </w:r>
    </w:p>
    <w:p w14:paraId="06FA9C6B" w14:textId="77777777" w:rsidR="00D26E79" w:rsidRPr="00D26E79" w:rsidRDefault="00D26E79" w:rsidP="00D26E79">
      <w:pPr>
        <w:ind w:left="720"/>
        <w:rPr>
          <w:rFonts w:ascii="Arial" w:hAnsi="Arial"/>
          <w:color w:val="000000"/>
        </w:rPr>
      </w:pPr>
      <w:r w:rsidRPr="00D26E79">
        <w:rPr>
          <w:rFonts w:ascii="Arial" w:hAnsi="Arial"/>
          <w:color w:val="000000"/>
        </w:rPr>
        <w:t xml:space="preserve">5. </w:t>
      </w:r>
      <w:proofErr w:type="spellStart"/>
      <w:r w:rsidRPr="00D26E79">
        <w:rPr>
          <w:rFonts w:ascii="Arial" w:hAnsi="Arial"/>
          <w:color w:val="000000"/>
        </w:rPr>
        <w:t>Premedicate</w:t>
      </w:r>
      <w:proofErr w:type="spellEnd"/>
      <w:r w:rsidRPr="00D26E79">
        <w:rPr>
          <w:rFonts w:ascii="Arial" w:hAnsi="Arial"/>
          <w:color w:val="000000"/>
        </w:rPr>
        <w:t xml:space="preserve"> with acetaminophen 650mg and diphenhydramine 50mg if patient did not receive with plasmapheresis.</w:t>
      </w:r>
    </w:p>
    <w:p w14:paraId="574F6623" w14:textId="77777777" w:rsidR="00D26E79" w:rsidRPr="00D26E79" w:rsidRDefault="00D26E79" w:rsidP="00D26E79">
      <w:pPr>
        <w:ind w:left="720"/>
        <w:rPr>
          <w:rFonts w:ascii="Arial" w:hAnsi="Arial"/>
          <w:color w:val="000000"/>
        </w:rPr>
      </w:pPr>
      <w:r w:rsidRPr="00D26E79">
        <w:rPr>
          <w:rFonts w:ascii="Arial" w:hAnsi="Arial"/>
          <w:color w:val="000000"/>
        </w:rPr>
        <w:t xml:space="preserve">6. Refer to protocol “Intravenous Immunoglobulin (Solid Organ Transplant)” for additional information and monitoring </w:t>
      </w:r>
    </w:p>
    <w:p w14:paraId="1C0E23D2" w14:textId="77777777" w:rsidR="00D26E79" w:rsidRPr="00D26E79" w:rsidRDefault="00D26E79" w:rsidP="00D26E79">
      <w:pPr>
        <w:ind w:left="720"/>
        <w:rPr>
          <w:rFonts w:ascii="Arial" w:hAnsi="Arial"/>
          <w:color w:val="000000"/>
        </w:rPr>
      </w:pPr>
      <w:r w:rsidRPr="00D26E79">
        <w:rPr>
          <w:rFonts w:ascii="Arial" w:hAnsi="Arial"/>
          <w:color w:val="000000"/>
        </w:rPr>
        <w:t>7. Repeat DSA titers prior to the 5</w:t>
      </w:r>
      <w:r w:rsidRPr="00D26E79">
        <w:rPr>
          <w:rFonts w:ascii="Arial" w:hAnsi="Arial"/>
          <w:color w:val="000000"/>
          <w:vertAlign w:val="superscript"/>
        </w:rPr>
        <w:t>th</w:t>
      </w:r>
      <w:r w:rsidRPr="00D26E79">
        <w:rPr>
          <w:rFonts w:ascii="Arial" w:hAnsi="Arial"/>
          <w:color w:val="000000"/>
        </w:rPr>
        <w:t xml:space="preserve"> session of plasmapheresis, and again 30 days after administering 2g/kg dose of IVIG. </w:t>
      </w:r>
    </w:p>
    <w:p w14:paraId="6580FC03" w14:textId="77777777" w:rsidR="00D26E79" w:rsidRPr="00D26E79" w:rsidRDefault="00D26E79" w:rsidP="00D26E79">
      <w:pPr>
        <w:rPr>
          <w:rFonts w:ascii="Arial" w:hAnsi="Arial"/>
          <w:color w:val="000000"/>
        </w:rPr>
      </w:pPr>
      <w:r w:rsidRPr="00D26E79">
        <w:rPr>
          <w:rFonts w:ascii="Arial" w:hAnsi="Arial"/>
          <w:color w:val="000000"/>
        </w:rPr>
        <w:br/>
      </w:r>
      <w:r w:rsidRPr="00D26E79">
        <w:rPr>
          <w:rFonts w:ascii="Arial" w:hAnsi="Arial"/>
          <w:b/>
          <w:bCs/>
          <w:color w:val="000000"/>
          <w:u w:val="single"/>
        </w:rPr>
        <w:t>E. High Dose IVIG for Antibody Mediated Rejection</w:t>
      </w:r>
      <w:r w:rsidRPr="00D26E79">
        <w:rPr>
          <w:rFonts w:ascii="Arial" w:hAnsi="Arial"/>
          <w:color w:val="000000"/>
        </w:rPr>
        <w:t xml:space="preserve"> </w:t>
      </w:r>
    </w:p>
    <w:p w14:paraId="2050FF4B" w14:textId="77777777" w:rsidR="00D26E79" w:rsidRPr="00D26E79" w:rsidRDefault="00D26E79" w:rsidP="00D26E79">
      <w:pPr>
        <w:ind w:left="720"/>
        <w:rPr>
          <w:rFonts w:ascii="Arial" w:hAnsi="Arial"/>
          <w:color w:val="000000"/>
        </w:rPr>
      </w:pPr>
      <w:r w:rsidRPr="00D26E79">
        <w:rPr>
          <w:rFonts w:ascii="Arial" w:hAnsi="Arial"/>
          <w:color w:val="000000"/>
        </w:rPr>
        <w:t xml:space="preserve">1. Order sucrose-free IVIG 2g/kg IV (max dose = 140g, rounded to nearest 5g) </w:t>
      </w:r>
    </w:p>
    <w:p w14:paraId="5E5EB1EB" w14:textId="77777777" w:rsidR="00D26E79" w:rsidRPr="00D26E79" w:rsidRDefault="00D26E79" w:rsidP="00D26E79">
      <w:pPr>
        <w:ind w:left="2160"/>
        <w:rPr>
          <w:rFonts w:ascii="Arial" w:hAnsi="Arial"/>
          <w:color w:val="000000"/>
        </w:rPr>
      </w:pPr>
      <w:r w:rsidRPr="00D26E79">
        <w:rPr>
          <w:rFonts w:ascii="Arial" w:hAnsi="Arial"/>
          <w:color w:val="000000"/>
        </w:rPr>
        <w:t>a. Dose may be split into 2 doses of 1mg/kg IV (max 70g) to be infused on separate days</w:t>
      </w:r>
      <w:r w:rsidRPr="00D26E79">
        <w:rPr>
          <w:rFonts w:ascii="Arial" w:hAnsi="Arial"/>
          <w:color w:val="000000"/>
        </w:rPr>
        <w:br/>
        <w:t>b. Begin infusion at 50ml/</w:t>
      </w:r>
      <w:proofErr w:type="spellStart"/>
      <w:r w:rsidRPr="00D26E79">
        <w:rPr>
          <w:rFonts w:ascii="Arial" w:hAnsi="Arial"/>
          <w:color w:val="000000"/>
        </w:rPr>
        <w:t>hr</w:t>
      </w:r>
      <w:proofErr w:type="spellEnd"/>
      <w:r w:rsidRPr="00D26E79">
        <w:rPr>
          <w:rFonts w:ascii="Arial" w:hAnsi="Arial"/>
          <w:color w:val="000000"/>
        </w:rPr>
        <w:t xml:space="preserve"> and double rate every 30 min as tolerated to a max infusion rate of 250ml/</w:t>
      </w:r>
      <w:proofErr w:type="spellStart"/>
      <w:r w:rsidRPr="00D26E79">
        <w:rPr>
          <w:rFonts w:ascii="Arial" w:hAnsi="Arial"/>
          <w:color w:val="000000"/>
        </w:rPr>
        <w:t>hr</w:t>
      </w:r>
      <w:proofErr w:type="spellEnd"/>
      <w:r w:rsidRPr="00D26E79">
        <w:rPr>
          <w:rFonts w:ascii="Arial" w:hAnsi="Arial"/>
          <w:color w:val="000000"/>
        </w:rPr>
        <w:t xml:space="preserve"> </w:t>
      </w:r>
    </w:p>
    <w:p w14:paraId="71DC5DC2" w14:textId="77777777" w:rsidR="00D26E79" w:rsidRPr="00D26E79" w:rsidRDefault="00D26E79" w:rsidP="00D26E79">
      <w:pPr>
        <w:ind w:left="720"/>
        <w:rPr>
          <w:rFonts w:ascii="Arial" w:hAnsi="Arial"/>
          <w:color w:val="000000"/>
        </w:rPr>
      </w:pPr>
      <w:r w:rsidRPr="00D26E79">
        <w:rPr>
          <w:rFonts w:ascii="Arial" w:hAnsi="Arial"/>
          <w:color w:val="000000"/>
        </w:rPr>
        <w:t xml:space="preserve">2. </w:t>
      </w:r>
      <w:proofErr w:type="spellStart"/>
      <w:r w:rsidRPr="00D26E79">
        <w:rPr>
          <w:rFonts w:ascii="Arial" w:hAnsi="Arial"/>
          <w:color w:val="000000"/>
        </w:rPr>
        <w:t>Premedicate</w:t>
      </w:r>
      <w:proofErr w:type="spellEnd"/>
      <w:r w:rsidRPr="00D26E79">
        <w:rPr>
          <w:rFonts w:ascii="Arial" w:hAnsi="Arial"/>
          <w:color w:val="000000"/>
        </w:rPr>
        <w:t xml:space="preserve"> with acetaminophen 650mg and diphenhydramine 50mg </w:t>
      </w:r>
    </w:p>
    <w:p w14:paraId="2E05D011" w14:textId="77777777" w:rsidR="00D26E79" w:rsidRPr="00D26E79" w:rsidRDefault="00D26E79" w:rsidP="00D26E79">
      <w:pPr>
        <w:ind w:left="720"/>
        <w:rPr>
          <w:rFonts w:ascii="Arial" w:hAnsi="Arial"/>
          <w:color w:val="000000"/>
        </w:rPr>
      </w:pPr>
      <w:r w:rsidRPr="00D26E79">
        <w:rPr>
          <w:rFonts w:ascii="Arial" w:hAnsi="Arial"/>
          <w:color w:val="000000"/>
        </w:rPr>
        <w:t xml:space="preserve">3. Refer to protocol “Intravenous Immunoglobulin (Solid Organ Transplant)” for additional information and monitoring </w:t>
      </w:r>
    </w:p>
    <w:p w14:paraId="1B54B306" w14:textId="300BE7EE" w:rsidR="00D26E79" w:rsidRPr="00570F73" w:rsidRDefault="00D26E79" w:rsidP="00D26E79">
      <w:pPr>
        <w:rPr>
          <w:rFonts w:ascii="Arial" w:hAnsi="Arial" w:cs="Arial"/>
          <w:b/>
          <w:bCs/>
          <w:u w:val="single"/>
        </w:rPr>
      </w:pPr>
      <w:r w:rsidRPr="00D26E79">
        <w:rPr>
          <w:rFonts w:ascii="Arial" w:hAnsi="Arial"/>
          <w:color w:val="000000"/>
        </w:rPr>
        <w:t>4. Repeat DSA titers 30 days after administration</w:t>
      </w:r>
      <w:r w:rsidRPr="00D26E79">
        <w:rPr>
          <w:rFonts w:ascii="Arial" w:hAnsi="Arial"/>
          <w:color w:val="000000"/>
          <w:sz w:val="20"/>
          <w:szCs w:val="20"/>
        </w:rPr>
        <w:t>.</w:t>
      </w:r>
      <w:r w:rsidRPr="00D26E79">
        <w:rPr>
          <w:rFonts w:ascii="Arial" w:hAnsi="Arial"/>
          <w:color w:val="000000"/>
        </w:rPr>
        <w:br/>
      </w:r>
      <w:r w:rsidRPr="00D82041">
        <w:rPr>
          <w:color w:val="000000"/>
        </w:rPr>
        <w:br/>
      </w:r>
    </w:p>
    <w:p w14:paraId="5BCB00E6" w14:textId="77777777" w:rsidR="00570F73" w:rsidRDefault="00570F73" w:rsidP="00D82ADA">
      <w:pPr>
        <w:rPr>
          <w:rFonts w:ascii="Arial" w:hAnsi="Arial" w:cs="Arial"/>
        </w:rPr>
      </w:pPr>
    </w:p>
    <w:p w14:paraId="15EE6D32" w14:textId="77777777" w:rsidR="00F802BC" w:rsidRPr="00120DE3" w:rsidRDefault="00F802BC" w:rsidP="00D82ADA">
      <w:pPr>
        <w:rPr>
          <w:rFonts w:ascii="Arial" w:hAnsi="Arial" w:cs="Arial"/>
        </w:rPr>
      </w:pPr>
    </w:p>
    <w:p w14:paraId="76DFD161" w14:textId="77777777" w:rsidR="00D31825" w:rsidRPr="0019168D" w:rsidRDefault="34F15EB1" w:rsidP="34F15EB1">
      <w:pPr>
        <w:rPr>
          <w:rFonts w:ascii="Arial" w:hAnsi="Arial" w:cs="Arial"/>
        </w:rPr>
      </w:pPr>
      <w:r w:rsidRPr="34F15EB1">
        <w:rPr>
          <w:rFonts w:ascii="Arial" w:hAnsi="Arial" w:cs="Arial"/>
          <w:b/>
          <w:bCs/>
          <w:u w:val="single"/>
        </w:rPr>
        <w:t>RELATED DOCUMENT(S)/LINK(S):</w:t>
      </w:r>
    </w:p>
    <w:p w14:paraId="03707B9D" w14:textId="77777777" w:rsidR="0019168D" w:rsidRDefault="0019168D" w:rsidP="00D82ADA">
      <w:pPr>
        <w:rPr>
          <w:rFonts w:ascii="Arial" w:hAnsi="Arial" w:cs="Arial"/>
        </w:rPr>
      </w:pPr>
    </w:p>
    <w:p w14:paraId="58D2A029" w14:textId="77777777" w:rsidR="00F802BC" w:rsidRPr="00120DE3" w:rsidRDefault="00F802BC" w:rsidP="00D82ADA">
      <w:pPr>
        <w:rPr>
          <w:rFonts w:ascii="Arial" w:hAnsi="Arial" w:cs="Arial"/>
        </w:rPr>
      </w:pPr>
    </w:p>
    <w:p w14:paraId="235733F1" w14:textId="77777777" w:rsidR="00D82ADA" w:rsidRPr="0019168D" w:rsidRDefault="34F15EB1" w:rsidP="34F15EB1">
      <w:pPr>
        <w:rPr>
          <w:rFonts w:ascii="Arial" w:hAnsi="Arial" w:cs="Arial"/>
        </w:rPr>
      </w:pPr>
      <w:r w:rsidRPr="34F15EB1">
        <w:rPr>
          <w:rFonts w:ascii="Arial" w:hAnsi="Arial" w:cs="Arial"/>
          <w:b/>
          <w:bCs/>
          <w:u w:val="single"/>
        </w:rPr>
        <w:t>DEFINITIONS:</w:t>
      </w:r>
      <w:r w:rsidRPr="34F15EB1">
        <w:rPr>
          <w:rFonts w:ascii="Arial" w:hAnsi="Arial" w:cs="Arial"/>
        </w:rPr>
        <w:t xml:space="preserve"> </w:t>
      </w:r>
      <w:r w:rsidRPr="34F15EB1">
        <w:rPr>
          <w:rFonts w:ascii="Arial" w:hAnsi="Arial" w:cs="Arial"/>
          <w:i/>
          <w:iCs/>
        </w:rPr>
        <w:t>(If applicable)</w:t>
      </w:r>
    </w:p>
    <w:p w14:paraId="61345EA7" w14:textId="77777777" w:rsidR="00C05CA7" w:rsidRPr="00120DE3" w:rsidRDefault="00C05CA7" w:rsidP="00D82ADA">
      <w:pPr>
        <w:rPr>
          <w:rFonts w:ascii="Arial" w:hAnsi="Arial" w:cs="Arial"/>
        </w:rPr>
      </w:pPr>
    </w:p>
    <w:p w14:paraId="31201F9C" w14:textId="77777777" w:rsidR="00A973EE" w:rsidRPr="00120DE3" w:rsidRDefault="00A973EE" w:rsidP="00D82ADA">
      <w:pPr>
        <w:rPr>
          <w:rFonts w:ascii="Arial" w:hAnsi="Arial" w:cs="Arial"/>
        </w:rPr>
      </w:pPr>
    </w:p>
    <w:p w14:paraId="38696F93" w14:textId="77777777" w:rsidR="00A973EE" w:rsidRDefault="34F15EB1" w:rsidP="34F15EB1">
      <w:pPr>
        <w:rPr>
          <w:rFonts w:ascii="Arial" w:hAnsi="Arial" w:cs="Arial"/>
          <w:b/>
          <w:bCs/>
          <w:u w:val="single"/>
        </w:rPr>
      </w:pPr>
      <w:r w:rsidRPr="34F15EB1">
        <w:rPr>
          <w:rFonts w:ascii="Arial" w:hAnsi="Arial" w:cs="Arial"/>
          <w:b/>
          <w:bCs/>
          <w:u w:val="single"/>
        </w:rPr>
        <w:t>REFERENCES AND SOURCES OF EVIDENCE:</w:t>
      </w:r>
    </w:p>
    <w:p w14:paraId="3FEA3451" w14:textId="77777777" w:rsidR="00805EE7" w:rsidRDefault="00805EE7" w:rsidP="00D82ADA">
      <w:pPr>
        <w:rPr>
          <w:rFonts w:ascii="Arial" w:hAnsi="Arial" w:cs="Arial"/>
          <w:b/>
          <w:u w:val="single"/>
        </w:rPr>
      </w:pPr>
    </w:p>
    <w:p w14:paraId="06EEBEB0" w14:textId="77777777" w:rsidR="0019168D" w:rsidRDefault="0019168D" w:rsidP="00D82ADA">
      <w:pPr>
        <w:rPr>
          <w:rFonts w:ascii="Arial" w:hAnsi="Arial" w:cs="Arial"/>
        </w:rPr>
      </w:pPr>
    </w:p>
    <w:p w14:paraId="10161D50" w14:textId="77777777" w:rsidR="005E39CF" w:rsidRDefault="005E39CF" w:rsidP="00D82ADA">
      <w:pPr>
        <w:rPr>
          <w:rFonts w:ascii="Arial" w:hAnsi="Arial" w:cs="Arial"/>
        </w:rPr>
      </w:pPr>
    </w:p>
    <w:p w14:paraId="3B6F4275" w14:textId="77777777" w:rsidR="00A973EE" w:rsidRDefault="34F15EB1" w:rsidP="34F15EB1">
      <w:pPr>
        <w:rPr>
          <w:rFonts w:ascii="Arial" w:hAnsi="Arial" w:cs="Arial"/>
          <w:b/>
          <w:bCs/>
          <w:u w:val="single"/>
        </w:rPr>
      </w:pPr>
      <w:r w:rsidRPr="34F15EB1">
        <w:rPr>
          <w:rFonts w:ascii="Arial" w:hAnsi="Arial" w:cs="Arial"/>
          <w:b/>
          <w:bCs/>
          <w:u w:val="single"/>
        </w:rPr>
        <w:t>KEY WORDS:</w:t>
      </w:r>
    </w:p>
    <w:p w14:paraId="3655456A" w14:textId="77777777" w:rsidR="005E39CF" w:rsidRDefault="005E39CF" w:rsidP="00D82ADA">
      <w:pPr>
        <w:rPr>
          <w:rFonts w:ascii="Arial" w:hAnsi="Arial" w:cs="Arial"/>
          <w:b/>
          <w:u w:val="single"/>
        </w:rPr>
      </w:pPr>
    </w:p>
    <w:p w14:paraId="0054D538" w14:textId="77777777" w:rsidR="005E39CF" w:rsidRPr="005E39CF" w:rsidRDefault="005E39CF" w:rsidP="00D82ADA">
      <w:pPr>
        <w:rPr>
          <w:rFonts w:ascii="Arial" w:hAnsi="Arial" w:cs="Arial"/>
          <w:b/>
          <w:u w:val="single"/>
        </w:rPr>
      </w:pPr>
    </w:p>
    <w:p w14:paraId="5184736D" w14:textId="77777777" w:rsidR="00DB6E7A" w:rsidRPr="00BE1C28" w:rsidRDefault="00DB6E7A" w:rsidP="00D82ADA">
      <w:pP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25"/>
        <w:gridCol w:w="4845"/>
      </w:tblGrid>
      <w:tr w:rsidR="00BE1C28" w:rsidRPr="00120DE3" w14:paraId="5EEABA03" w14:textId="77777777" w:rsidTr="00C7714B">
        <w:tc>
          <w:tcPr>
            <w:tcW w:w="10770" w:type="dxa"/>
            <w:gridSpan w:val="2"/>
            <w:tcBorders>
              <w:bottom w:val="nil"/>
            </w:tcBorders>
            <w:shd w:val="clear" w:color="auto" w:fill="auto"/>
          </w:tcPr>
          <w:p w14:paraId="614CEB46" w14:textId="77777777" w:rsidR="00BE1C28" w:rsidRPr="00C7714B" w:rsidRDefault="34F15EB1" w:rsidP="00C7714B">
            <w:pPr>
              <w:spacing w:before="60" w:after="20"/>
              <w:rPr>
                <w:rFonts w:ascii="Arial" w:hAnsi="Arial" w:cs="Arial"/>
                <w:u w:val="single"/>
              </w:rPr>
            </w:pPr>
            <w:r w:rsidRPr="00C7714B">
              <w:rPr>
                <w:rFonts w:ascii="Arial" w:hAnsi="Arial" w:cs="Arial"/>
                <w:b/>
                <w:bCs/>
                <w:u w:val="single"/>
              </w:rPr>
              <w:t>REVIEW/APPROVAL SUMMARY:</w:t>
            </w:r>
            <w:r w:rsidRPr="00C7714B">
              <w:rPr>
                <w:rFonts w:ascii="Arial" w:hAnsi="Arial" w:cs="Arial"/>
                <w:u w:val="single"/>
              </w:rPr>
              <w:t xml:space="preserve"> </w:t>
            </w:r>
          </w:p>
        </w:tc>
      </w:tr>
      <w:tr w:rsidR="00576F37" w:rsidRPr="00120DE3" w14:paraId="04EA4896" w14:textId="77777777" w:rsidTr="00C7714B">
        <w:trPr>
          <w:trHeight w:val="702"/>
        </w:trPr>
        <w:tc>
          <w:tcPr>
            <w:tcW w:w="10770" w:type="dxa"/>
            <w:gridSpan w:val="2"/>
            <w:tcBorders>
              <w:top w:val="nil"/>
            </w:tcBorders>
            <w:shd w:val="clear" w:color="auto" w:fill="auto"/>
          </w:tcPr>
          <w:p w14:paraId="6DEF0045" w14:textId="77777777" w:rsidR="00576F37" w:rsidRPr="00C7714B" w:rsidRDefault="34F15EB1" w:rsidP="00C7714B">
            <w:pPr>
              <w:spacing w:before="60"/>
              <w:rPr>
                <w:rFonts w:ascii="Arial" w:hAnsi="Arial" w:cs="Arial"/>
              </w:rPr>
            </w:pPr>
            <w:r w:rsidRPr="00C7714B">
              <w:rPr>
                <w:rFonts w:ascii="Arial" w:hAnsi="Arial" w:cs="Arial"/>
                <w:b/>
                <w:bCs/>
              </w:rPr>
              <w:t>APPROVAL BODY/BODIES:</w:t>
            </w:r>
            <w:r w:rsidRPr="00C7714B">
              <w:rPr>
                <w:rFonts w:ascii="Arial" w:hAnsi="Arial" w:cs="Arial"/>
              </w:rPr>
              <w:t xml:space="preserve"> </w:t>
            </w:r>
          </w:p>
        </w:tc>
      </w:tr>
      <w:tr w:rsidR="00BE1C28" w:rsidRPr="00120DE3" w14:paraId="14A6DA19" w14:textId="77777777" w:rsidTr="00C7714B">
        <w:tc>
          <w:tcPr>
            <w:tcW w:w="5925" w:type="dxa"/>
            <w:shd w:val="clear" w:color="auto" w:fill="auto"/>
          </w:tcPr>
          <w:p w14:paraId="2AEF5D2A" w14:textId="77777777" w:rsidR="00BE1C28" w:rsidRPr="00C7714B" w:rsidRDefault="34F15EB1" w:rsidP="00C7714B">
            <w:pPr>
              <w:spacing w:before="60" w:after="20"/>
              <w:rPr>
                <w:rFonts w:ascii="Arial" w:hAnsi="Arial" w:cs="Arial"/>
              </w:rPr>
            </w:pPr>
            <w:r w:rsidRPr="00C7714B">
              <w:rPr>
                <w:rFonts w:ascii="Arial" w:hAnsi="Arial" w:cs="Arial"/>
                <w:b/>
                <w:bCs/>
              </w:rPr>
              <w:t>REVIEW/REVISION DATES:</w:t>
            </w:r>
            <w:r w:rsidRPr="00C7714B">
              <w:rPr>
                <w:rFonts w:ascii="Arial" w:hAnsi="Arial" w:cs="Arial"/>
              </w:rPr>
              <w:t xml:space="preserve"> </w:t>
            </w:r>
          </w:p>
        </w:tc>
        <w:tc>
          <w:tcPr>
            <w:tcW w:w="4845" w:type="dxa"/>
            <w:shd w:val="clear" w:color="auto" w:fill="auto"/>
          </w:tcPr>
          <w:p w14:paraId="3BD5D05A" w14:textId="77777777" w:rsidR="00BE1C28" w:rsidRPr="00C7714B" w:rsidRDefault="34F15EB1" w:rsidP="00C7714B">
            <w:pPr>
              <w:spacing w:before="60" w:after="20"/>
              <w:rPr>
                <w:rFonts w:ascii="Arial" w:hAnsi="Arial" w:cs="Arial"/>
              </w:rPr>
            </w:pPr>
            <w:r w:rsidRPr="00C7714B">
              <w:rPr>
                <w:rFonts w:ascii="Arial" w:hAnsi="Arial" w:cs="Arial"/>
                <w:b/>
                <w:bCs/>
              </w:rPr>
              <w:t>APPROVAL DATE:</w:t>
            </w:r>
            <w:r w:rsidRPr="00C7714B">
              <w:rPr>
                <w:rFonts w:ascii="Arial" w:hAnsi="Arial" w:cs="Arial"/>
              </w:rPr>
              <w:t xml:space="preserve"> </w:t>
            </w:r>
          </w:p>
        </w:tc>
      </w:tr>
    </w:tbl>
    <w:p w14:paraId="6009BCE8" w14:textId="77777777" w:rsidR="00246CC9" w:rsidRPr="00120DE3" w:rsidRDefault="00246CC9" w:rsidP="00D82ADA">
      <w:pPr>
        <w:rPr>
          <w:rFonts w:ascii="Arial" w:hAnsi="Arial" w:cs="Arial"/>
        </w:rPr>
      </w:pPr>
    </w:p>
    <w:sectPr w:rsidR="00246CC9" w:rsidRPr="00120DE3" w:rsidSect="00D8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F4A2B" w14:textId="77777777" w:rsidR="00CC69DA" w:rsidRDefault="00CC69DA" w:rsidP="00401E3E">
      <w:r>
        <w:separator/>
      </w:r>
    </w:p>
  </w:endnote>
  <w:endnote w:type="continuationSeparator" w:id="0">
    <w:p w14:paraId="7386D24B" w14:textId="77777777" w:rsidR="00CC69DA" w:rsidRDefault="00CC69DA"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D587" w14:textId="77777777" w:rsidR="00401E3E" w:rsidRPr="00246CC9" w:rsidRDefault="00120DE3" w:rsidP="34F15EB1">
    <w:pPr>
      <w:pStyle w:val="Footer"/>
      <w:tabs>
        <w:tab w:val="clear" w:pos="4680"/>
        <w:tab w:val="clear" w:pos="9360"/>
        <w:tab w:val="right" w:pos="10368"/>
      </w:tabs>
      <w:rPr>
        <w:rFonts w:ascii="Arial" w:hAnsi="Arial" w:cs="Arial"/>
        <w:sz w:val="16"/>
        <w:szCs w:val="16"/>
      </w:rPr>
    </w:pPr>
    <w:r w:rsidRPr="00246CC9">
      <w:rPr>
        <w:rFonts w:ascii="Arial" w:hAnsi="Arial" w:cs="Arial"/>
        <w:sz w:val="16"/>
        <w:szCs w:val="16"/>
      </w:rPr>
      <w:t>P</w:t>
    </w:r>
    <w:r w:rsidR="00611775">
      <w:rPr>
        <w:rFonts w:ascii="Arial" w:hAnsi="Arial" w:cs="Arial"/>
        <w:sz w:val="16"/>
        <w:szCs w:val="16"/>
      </w:rPr>
      <w:t>ROCEDURE</w:t>
    </w:r>
    <w:r w:rsidR="001E3490">
      <w:rPr>
        <w:rFonts w:ascii="Arial" w:hAnsi="Arial" w:cs="Arial"/>
        <w:sz w:val="16"/>
        <w:szCs w:val="16"/>
      </w:rPr>
      <w:t>/GUIDELINE</w:t>
    </w:r>
    <w:r w:rsidRPr="00246CC9">
      <w:rPr>
        <w:rFonts w:ascii="Arial" w:hAnsi="Arial" w:cs="Arial"/>
        <w:sz w:val="16"/>
        <w:szCs w:val="16"/>
      </w:rPr>
      <w:t xml:space="preserve"> TITLE</w:t>
    </w:r>
    <w:r w:rsidRPr="00246CC9">
      <w:rPr>
        <w:rFonts w:ascii="Arial" w:hAnsi="Arial" w:cs="Arial"/>
        <w:sz w:val="16"/>
        <w:szCs w:val="16"/>
      </w:rPr>
      <w:tab/>
    </w:r>
    <w:r w:rsidR="00246CC9" w:rsidRPr="34F15EB1">
      <w:rPr>
        <w:rFonts w:ascii="Arial" w:hAnsi="Arial" w:cs="Arial"/>
        <w:noProof/>
        <w:sz w:val="16"/>
        <w:szCs w:val="16"/>
      </w:rPr>
      <w:fldChar w:fldCharType="begin"/>
    </w:r>
    <w:r w:rsidR="00246CC9" w:rsidRPr="00246CC9">
      <w:rPr>
        <w:rFonts w:ascii="Arial" w:hAnsi="Arial" w:cs="Arial"/>
        <w:sz w:val="16"/>
      </w:rPr>
      <w:instrText xml:space="preserve"> PAGE  \* MERGEFORMAT </w:instrText>
    </w:r>
    <w:r w:rsidR="00246CC9" w:rsidRPr="34F15EB1">
      <w:rPr>
        <w:rFonts w:ascii="Arial" w:hAnsi="Arial" w:cs="Arial"/>
        <w:sz w:val="16"/>
      </w:rPr>
      <w:fldChar w:fldCharType="separate"/>
    </w:r>
    <w:r w:rsidR="00C62EB2" w:rsidRPr="00C62EB2">
      <w:rPr>
        <w:rFonts w:ascii="Arial" w:hAnsi="Arial" w:cs="Arial"/>
        <w:noProof/>
        <w:sz w:val="16"/>
        <w:szCs w:val="16"/>
      </w:rPr>
      <w:t>1</w:t>
    </w:r>
    <w:r w:rsidR="00246CC9" w:rsidRPr="34F15EB1">
      <w:rPr>
        <w:rFonts w:ascii="Arial" w:hAnsi="Arial" w:cs="Arial"/>
        <w:noProof/>
        <w:sz w:val="16"/>
        <w:szCs w:val="16"/>
      </w:rPr>
      <w:fldChar w:fldCharType="end"/>
    </w:r>
    <w:r w:rsidR="00246CC9" w:rsidRPr="34F15EB1">
      <w:rPr>
        <w:rFonts w:ascii="Arial" w:hAnsi="Arial" w:cs="Arial"/>
        <w:sz w:val="16"/>
        <w:szCs w:val="16"/>
      </w:rPr>
      <w:t xml:space="preserve"> of </w:t>
    </w:r>
    <w:r w:rsidR="00246CC9" w:rsidRPr="34F15EB1">
      <w:rPr>
        <w:rFonts w:ascii="Arial" w:hAnsi="Arial" w:cs="Arial"/>
        <w:noProof/>
        <w:sz w:val="16"/>
        <w:szCs w:val="16"/>
      </w:rPr>
      <w:fldChar w:fldCharType="begin"/>
    </w:r>
    <w:r w:rsidR="00246CC9" w:rsidRPr="00246CC9">
      <w:rPr>
        <w:rFonts w:ascii="Arial" w:hAnsi="Arial" w:cs="Arial"/>
        <w:sz w:val="16"/>
      </w:rPr>
      <w:instrText xml:space="preserve"> NUMPAGES  \* MERGEFORMAT </w:instrText>
    </w:r>
    <w:r w:rsidR="00246CC9" w:rsidRPr="34F15EB1">
      <w:rPr>
        <w:rFonts w:ascii="Arial" w:hAnsi="Arial" w:cs="Arial"/>
        <w:sz w:val="16"/>
      </w:rPr>
      <w:fldChar w:fldCharType="separate"/>
    </w:r>
    <w:r w:rsidR="00C62EB2" w:rsidRPr="00C62EB2">
      <w:rPr>
        <w:rFonts w:ascii="Arial" w:hAnsi="Arial" w:cs="Arial"/>
        <w:noProof/>
        <w:sz w:val="16"/>
        <w:szCs w:val="16"/>
      </w:rPr>
      <w:t>4</w:t>
    </w:r>
    <w:r w:rsidR="00246CC9" w:rsidRPr="34F15EB1">
      <w:rPr>
        <w:rFonts w:ascii="Arial" w:hAnsi="Arial" w:cs="Arial"/>
        <w:noProof/>
        <w:sz w:val="16"/>
        <w:szCs w:val="16"/>
      </w:rPr>
      <w:fldChar w:fldCharType="end"/>
    </w:r>
    <w:r w:rsidR="00611775" w:rsidRPr="34F15EB1">
      <w:rPr>
        <w:rFonts w:ascii="Arial" w:hAnsi="Arial" w:cs="Arial"/>
        <w:sz w:val="16"/>
        <w:szCs w:val="16"/>
      </w:rPr>
      <w:t xml:space="preserve">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D29B0" w14:textId="77777777" w:rsidR="00CC69DA" w:rsidRDefault="00CC69DA" w:rsidP="00401E3E">
      <w:r>
        <w:separator/>
      </w:r>
    </w:p>
  </w:footnote>
  <w:footnote w:type="continuationSeparator" w:id="0">
    <w:p w14:paraId="05F034E8" w14:textId="77777777" w:rsidR="00CC69DA" w:rsidRDefault="00CC69DA"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7E94" w14:textId="474E2B34" w:rsidR="00401E3E" w:rsidRPr="00120DE3" w:rsidRDefault="00C932D7" w:rsidP="00120DE3">
    <w:pPr>
      <w:rPr>
        <w:rFonts w:ascii="Arial" w:hAnsi="Arial" w:cs="Arial"/>
      </w:rPr>
    </w:pPr>
    <w:r w:rsidRPr="008D6E1B">
      <w:rPr>
        <w:noProof/>
      </w:rPr>
      <w:drawing>
        <wp:inline distT="0" distB="0" distL="0" distR="0" wp14:anchorId="2F122855" wp14:editId="333D074F">
          <wp:extent cx="1287780" cy="446405"/>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446405"/>
                  </a:xfrm>
                  <a:prstGeom prst="rect">
                    <a:avLst/>
                  </a:prstGeom>
                  <a:noFill/>
                  <a:ln>
                    <a:noFill/>
                  </a:ln>
                </pic:spPr>
              </pic:pic>
            </a:graphicData>
          </a:graphic>
        </wp:inline>
      </w:drawing>
    </w:r>
  </w:p>
  <w:p w14:paraId="14EFEC7A" w14:textId="77777777" w:rsidR="00401E3E" w:rsidRPr="00120DE3" w:rsidRDefault="00401E3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299"/>
    <w:multiLevelType w:val="multilevel"/>
    <w:tmpl w:val="CA1E5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72D0B"/>
    <w:multiLevelType w:val="hybridMultilevel"/>
    <w:tmpl w:val="2712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AA7EF9-DE54-4447-89E7-76FEC2231109}"/>
    <w:docVar w:name="dgnword-eventsink" w:val="266487184"/>
  </w:docVars>
  <w:rsids>
    <w:rsidRoot w:val="00D82ADA"/>
    <w:rsid w:val="000531ED"/>
    <w:rsid w:val="0007395E"/>
    <w:rsid w:val="00120DE3"/>
    <w:rsid w:val="00132810"/>
    <w:rsid w:val="00150BDD"/>
    <w:rsid w:val="00152742"/>
    <w:rsid w:val="0015735D"/>
    <w:rsid w:val="001644D7"/>
    <w:rsid w:val="0018574A"/>
    <w:rsid w:val="00190B98"/>
    <w:rsid w:val="0019168D"/>
    <w:rsid w:val="001921CD"/>
    <w:rsid w:val="001C7A16"/>
    <w:rsid w:val="001E224C"/>
    <w:rsid w:val="001E3490"/>
    <w:rsid w:val="001F67AA"/>
    <w:rsid w:val="00233309"/>
    <w:rsid w:val="00246CC9"/>
    <w:rsid w:val="002A3DF1"/>
    <w:rsid w:val="00346840"/>
    <w:rsid w:val="00382155"/>
    <w:rsid w:val="003937C3"/>
    <w:rsid w:val="003A4628"/>
    <w:rsid w:val="003A5698"/>
    <w:rsid w:val="00401E3E"/>
    <w:rsid w:val="00436D0B"/>
    <w:rsid w:val="00570F73"/>
    <w:rsid w:val="00576F37"/>
    <w:rsid w:val="005819A1"/>
    <w:rsid w:val="00595E18"/>
    <w:rsid w:val="005E39CF"/>
    <w:rsid w:val="00611775"/>
    <w:rsid w:val="0069285E"/>
    <w:rsid w:val="006A165B"/>
    <w:rsid w:val="006A1F9E"/>
    <w:rsid w:val="00734CC6"/>
    <w:rsid w:val="0079159D"/>
    <w:rsid w:val="007C72B5"/>
    <w:rsid w:val="00805EE7"/>
    <w:rsid w:val="00815F69"/>
    <w:rsid w:val="008241EB"/>
    <w:rsid w:val="008660BA"/>
    <w:rsid w:val="008D276B"/>
    <w:rsid w:val="008D4A0C"/>
    <w:rsid w:val="00996A8F"/>
    <w:rsid w:val="009A04E9"/>
    <w:rsid w:val="009F5419"/>
    <w:rsid w:val="00A03BB9"/>
    <w:rsid w:val="00A350C5"/>
    <w:rsid w:val="00A40BF4"/>
    <w:rsid w:val="00A67AC2"/>
    <w:rsid w:val="00A71BB9"/>
    <w:rsid w:val="00A96893"/>
    <w:rsid w:val="00A973EE"/>
    <w:rsid w:val="00AE2858"/>
    <w:rsid w:val="00B151A5"/>
    <w:rsid w:val="00B33F1F"/>
    <w:rsid w:val="00B83C4E"/>
    <w:rsid w:val="00BA3C30"/>
    <w:rsid w:val="00BE1C28"/>
    <w:rsid w:val="00C05CA7"/>
    <w:rsid w:val="00C107DE"/>
    <w:rsid w:val="00C62EB2"/>
    <w:rsid w:val="00C7714B"/>
    <w:rsid w:val="00C932D7"/>
    <w:rsid w:val="00CC5EDC"/>
    <w:rsid w:val="00CC69DA"/>
    <w:rsid w:val="00CD0BC0"/>
    <w:rsid w:val="00CE4923"/>
    <w:rsid w:val="00CE6D90"/>
    <w:rsid w:val="00D26E79"/>
    <w:rsid w:val="00D31825"/>
    <w:rsid w:val="00D82ADA"/>
    <w:rsid w:val="00D877F7"/>
    <w:rsid w:val="00DB6E7A"/>
    <w:rsid w:val="00E3752C"/>
    <w:rsid w:val="00E80DD7"/>
    <w:rsid w:val="00EC0A28"/>
    <w:rsid w:val="00F3188F"/>
    <w:rsid w:val="00F444B1"/>
    <w:rsid w:val="00F7188F"/>
    <w:rsid w:val="00F747D4"/>
    <w:rsid w:val="00F802BC"/>
    <w:rsid w:val="00F9095C"/>
    <w:rsid w:val="00FD45A9"/>
    <w:rsid w:val="34F1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BCBED"/>
  <w15:docId w15:val="{88F806DD-367C-474B-B8C6-823B3A5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link w:val="BalloonText"/>
    <w:rsid w:val="0007395E"/>
    <w:rPr>
      <w:rFonts w:ascii="Segoe UI" w:hAnsi="Segoe UI" w:cs="Segoe UI"/>
      <w:sz w:val="18"/>
      <w:szCs w:val="18"/>
    </w:rPr>
  </w:style>
  <w:style w:type="paragraph" w:styleId="ListParagraph">
    <w:name w:val="List Paragraph"/>
    <w:basedOn w:val="Normal"/>
    <w:uiPriority w:val="34"/>
    <w:qFormat/>
    <w:rsid w:val="00595E18"/>
    <w:pPr>
      <w:ind w:left="720"/>
      <w:contextualSpacing/>
    </w:pPr>
  </w:style>
  <w:style w:type="character" w:styleId="CommentReference">
    <w:name w:val="annotation reference"/>
    <w:semiHidden/>
    <w:unhideWhenUsed/>
    <w:rsid w:val="001C7A16"/>
    <w:rPr>
      <w:sz w:val="16"/>
      <w:szCs w:val="16"/>
    </w:rPr>
  </w:style>
  <w:style w:type="paragraph" w:styleId="CommentText">
    <w:name w:val="annotation text"/>
    <w:basedOn w:val="Normal"/>
    <w:link w:val="CommentTextChar"/>
    <w:semiHidden/>
    <w:unhideWhenUsed/>
    <w:rsid w:val="001C7A16"/>
    <w:rPr>
      <w:sz w:val="20"/>
      <w:szCs w:val="20"/>
    </w:rPr>
  </w:style>
  <w:style w:type="character" w:customStyle="1" w:styleId="CommentTextChar">
    <w:name w:val="Comment Text Char"/>
    <w:basedOn w:val="DefaultParagraphFont"/>
    <w:link w:val="CommentText"/>
    <w:semiHidden/>
    <w:rsid w:val="001C7A16"/>
  </w:style>
  <w:style w:type="paragraph" w:styleId="CommentSubject">
    <w:name w:val="annotation subject"/>
    <w:basedOn w:val="CommentText"/>
    <w:next w:val="CommentText"/>
    <w:link w:val="CommentSubjectChar"/>
    <w:semiHidden/>
    <w:unhideWhenUsed/>
    <w:rsid w:val="001C7A16"/>
    <w:rPr>
      <w:b/>
      <w:bCs/>
    </w:rPr>
  </w:style>
  <w:style w:type="character" w:customStyle="1" w:styleId="CommentSubjectChar">
    <w:name w:val="Comment Subject Char"/>
    <w:link w:val="CommentSubject"/>
    <w:semiHidden/>
    <w:rsid w:val="001C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 Toney</dc:creator>
  <cp:lastModifiedBy>Richard Milam</cp:lastModifiedBy>
  <cp:revision>2</cp:revision>
  <cp:lastPrinted>2017-05-31T13:16:00Z</cp:lastPrinted>
  <dcterms:created xsi:type="dcterms:W3CDTF">2019-05-16T17:37:00Z</dcterms:created>
  <dcterms:modified xsi:type="dcterms:W3CDTF">2019-05-16T17:37:00Z</dcterms:modified>
</cp:coreProperties>
</file>