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887" w:rsidRPr="007D6887" w:rsidRDefault="007D6887" w:rsidP="007D6887">
      <w:pPr>
        <w:pBdr>
          <w:bottom w:val="single" w:sz="6" w:space="1" w:color="auto"/>
        </w:pBdr>
        <w:spacing w:after="0" w:line="240" w:lineRule="auto"/>
        <w:jc w:val="center"/>
        <w:rPr>
          <w:rFonts w:ascii="Arial" w:eastAsia="Times New Roman" w:hAnsi="Arial" w:cs="Arial"/>
          <w:vanish/>
          <w:color w:val="000000"/>
          <w:sz w:val="20"/>
          <w:szCs w:val="20"/>
        </w:rPr>
      </w:pPr>
      <w:bookmarkStart w:id="0" w:name="_GoBack"/>
      <w:bookmarkEnd w:id="0"/>
      <w:r w:rsidRPr="007D6887">
        <w:rPr>
          <w:rFonts w:ascii="Arial" w:eastAsia="Times New Roman" w:hAnsi="Arial" w:cs="Arial"/>
          <w:vanish/>
          <w:color w:val="000000"/>
          <w:sz w:val="20"/>
          <w:szCs w:val="20"/>
        </w:rPr>
        <w:t>Top of Form</w:t>
      </w:r>
    </w:p>
    <w:p w:rsidR="007D6887" w:rsidRDefault="007D6887" w:rsidP="007D6887">
      <w:pPr>
        <w:spacing w:after="240" w:line="240" w:lineRule="auto"/>
        <w:rPr>
          <w:rFonts w:ascii="Arial" w:eastAsia="Times New Roman" w:hAnsi="Arial" w:cs="Arial"/>
          <w:color w:val="000000"/>
          <w:sz w:val="20"/>
          <w:szCs w:val="20"/>
        </w:rPr>
      </w:pPr>
      <w:r w:rsidRPr="007D6887">
        <w:rPr>
          <w:rFonts w:ascii="Arial" w:eastAsia="Times New Roman" w:hAnsi="Arial" w:cs="Arial"/>
          <w:b/>
          <w:bCs/>
          <w:color w:val="000000"/>
          <w:sz w:val="20"/>
          <w:szCs w:val="20"/>
        </w:rPr>
        <w:t>Policy: Kidney/Pancreas Post Transplant: AUC Monitoring of Tacrolimus Levels in Post Renal Transplant Patients (Area Under the Curve)</w:t>
      </w:r>
      <w:r w:rsidRPr="007D6887">
        <w:rPr>
          <w:rFonts w:ascii="Arial" w:eastAsia="Times New Roman" w:hAnsi="Arial" w:cs="Arial"/>
          <w:color w:val="000000"/>
          <w:sz w:val="20"/>
          <w:szCs w:val="20"/>
        </w:rPr>
        <w:br/>
      </w:r>
      <w:r w:rsidRPr="007D6887">
        <w:rPr>
          <w:rFonts w:ascii="Arial" w:eastAsia="Times New Roman" w:hAnsi="Arial" w:cs="Arial"/>
          <w:color w:val="000000"/>
          <w:sz w:val="20"/>
          <w:szCs w:val="20"/>
        </w:rPr>
        <w:br/>
      </w:r>
      <w:r w:rsidRPr="007D6887">
        <w:rPr>
          <w:rFonts w:ascii="Arial" w:eastAsia="Times New Roman" w:hAnsi="Arial" w:cs="Arial"/>
          <w:b/>
          <w:bCs/>
          <w:color w:val="000000"/>
          <w:sz w:val="20"/>
          <w:szCs w:val="20"/>
        </w:rPr>
        <w:t xml:space="preserve">Statement: </w:t>
      </w:r>
      <w:r w:rsidRPr="007D6887">
        <w:rPr>
          <w:rFonts w:ascii="Arial" w:eastAsia="Times New Roman" w:hAnsi="Arial" w:cs="Arial"/>
          <w:b/>
          <w:bCs/>
          <w:color w:val="000080"/>
          <w:sz w:val="20"/>
          <w:szCs w:val="20"/>
        </w:rPr>
        <w:t xml:space="preserve">Vision Strategy: </w:t>
      </w:r>
      <w:r w:rsidRPr="007D6887">
        <w:rPr>
          <w:rFonts w:ascii="Arial" w:eastAsia="Times New Roman" w:hAnsi="Arial" w:cs="Arial"/>
          <w:color w:val="000000"/>
          <w:sz w:val="20"/>
          <w:szCs w:val="20"/>
        </w:rPr>
        <w:t>Patient Care</w:t>
      </w:r>
      <w:r w:rsidRPr="007D6887">
        <w:rPr>
          <w:rFonts w:ascii="Arial" w:eastAsia="Times New Roman" w:hAnsi="Arial" w:cs="Arial"/>
          <w:color w:val="000000"/>
          <w:sz w:val="20"/>
          <w:szCs w:val="20"/>
        </w:rPr>
        <w:br/>
      </w:r>
      <w:r w:rsidRPr="007D6887">
        <w:rPr>
          <w:rFonts w:ascii="Arial" w:eastAsia="Times New Roman" w:hAnsi="Arial" w:cs="Arial"/>
          <w:color w:val="000000"/>
          <w:sz w:val="20"/>
          <w:szCs w:val="20"/>
        </w:rPr>
        <w:br/>
      </w:r>
      <w:r w:rsidRPr="007D6887">
        <w:rPr>
          <w:rFonts w:ascii="Arial" w:eastAsia="Times New Roman" w:hAnsi="Arial" w:cs="Arial"/>
          <w:b/>
          <w:bCs/>
          <w:color w:val="000080"/>
          <w:sz w:val="20"/>
          <w:szCs w:val="20"/>
        </w:rPr>
        <w:t xml:space="preserve">Policy Statement: </w:t>
      </w:r>
      <w:r w:rsidRPr="007D6887">
        <w:rPr>
          <w:rFonts w:ascii="Arial" w:eastAsia="Times New Roman" w:hAnsi="Arial" w:cs="Arial"/>
          <w:color w:val="000000"/>
          <w:sz w:val="20"/>
          <w:szCs w:val="20"/>
        </w:rPr>
        <w:t xml:space="preserve">The Emory Transplant Center and all the solid organ transplant programs will comply with all applicable federal, state, and local laws, regulations, policies and protocols regarding the management of transplant patients. </w:t>
      </w:r>
      <w:r w:rsidRPr="007D6887">
        <w:rPr>
          <w:rFonts w:ascii="Arial" w:eastAsia="Times New Roman" w:hAnsi="Arial" w:cs="Arial"/>
          <w:color w:val="000000"/>
          <w:sz w:val="20"/>
          <w:szCs w:val="20"/>
        </w:rPr>
        <w:br/>
      </w:r>
      <w:r w:rsidRPr="007D6887">
        <w:rPr>
          <w:rFonts w:ascii="Arial" w:eastAsia="Times New Roman" w:hAnsi="Arial" w:cs="Arial"/>
          <w:color w:val="000000"/>
          <w:sz w:val="20"/>
          <w:szCs w:val="20"/>
        </w:rPr>
        <w:br/>
      </w:r>
      <w:r w:rsidRPr="007D6887">
        <w:rPr>
          <w:rFonts w:ascii="Arial" w:eastAsia="Times New Roman" w:hAnsi="Arial" w:cs="Arial"/>
          <w:b/>
          <w:bCs/>
          <w:color w:val="000080"/>
          <w:sz w:val="20"/>
          <w:szCs w:val="20"/>
        </w:rPr>
        <w:t xml:space="preserve">Basis: </w:t>
      </w:r>
      <w:r w:rsidRPr="007D6887">
        <w:rPr>
          <w:rFonts w:ascii="Arial" w:eastAsia="Times New Roman" w:hAnsi="Arial" w:cs="Arial"/>
          <w:color w:val="000000"/>
          <w:sz w:val="20"/>
          <w:szCs w:val="20"/>
        </w:rPr>
        <w:t xml:space="preserve">Tacrolimus is a potent immunosuppressive agent used in immunosuppressive therapy in transplant patients. High blood levels of tacrolimus appear to be associated with serious adverse events such as nephrotoxicity, neurotoxicity, and hyperglycemia. </w:t>
      </w:r>
      <w:r w:rsidRPr="00D10E24">
        <w:rPr>
          <w:color w:val="000000" w:themeColor="text1"/>
        </w:rPr>
        <w:t xml:space="preserve">Subtherapeutic levels of tacrolimus are associated with an increased risk of acute rejection. More intense </w:t>
      </w:r>
      <w:r>
        <w:rPr>
          <w:rFonts w:ascii="Arial" w:eastAsia="Times New Roman" w:hAnsi="Arial" w:cs="Arial"/>
          <w:color w:val="000000"/>
          <w:sz w:val="20"/>
          <w:szCs w:val="20"/>
        </w:rPr>
        <w:t>t</w:t>
      </w:r>
      <w:r w:rsidRPr="007D6887">
        <w:rPr>
          <w:rFonts w:ascii="Arial" w:eastAsia="Times New Roman" w:hAnsi="Arial" w:cs="Arial"/>
          <w:color w:val="000000"/>
          <w:sz w:val="20"/>
          <w:szCs w:val="20"/>
        </w:rPr>
        <w:t>herapeutic drug monitoring may be useful in selected patients to optimize immunosuppression therapy.</w:t>
      </w:r>
      <w:r w:rsidRPr="007D6887">
        <w:rPr>
          <w:rFonts w:ascii="Arial" w:eastAsia="Times New Roman" w:hAnsi="Arial" w:cs="Arial"/>
          <w:color w:val="000000"/>
          <w:sz w:val="20"/>
          <w:szCs w:val="20"/>
        </w:rPr>
        <w:br/>
      </w:r>
      <w:r w:rsidRPr="007D6887">
        <w:rPr>
          <w:rFonts w:ascii="Arial" w:eastAsia="Times New Roman" w:hAnsi="Arial" w:cs="Arial"/>
          <w:color w:val="000000"/>
          <w:sz w:val="20"/>
          <w:szCs w:val="20"/>
        </w:rPr>
        <w:br/>
      </w:r>
      <w:r w:rsidRPr="007D6887">
        <w:rPr>
          <w:rFonts w:ascii="Arial" w:eastAsia="Times New Roman" w:hAnsi="Arial" w:cs="Arial"/>
          <w:b/>
          <w:bCs/>
          <w:color w:val="000080"/>
          <w:sz w:val="20"/>
          <w:szCs w:val="20"/>
        </w:rPr>
        <w:t xml:space="preserve">Admin Responsibility: </w:t>
      </w:r>
      <w:r w:rsidRPr="007D6887">
        <w:rPr>
          <w:rFonts w:ascii="Arial" w:eastAsia="Times New Roman" w:hAnsi="Arial" w:cs="Arial"/>
          <w:color w:val="000000"/>
          <w:sz w:val="20"/>
          <w:szCs w:val="20"/>
        </w:rPr>
        <w:t>All transplant program physicians, practitioners and clinical staff members are responsible for compliance with this clinical protocol.</w:t>
      </w:r>
      <w:r w:rsidRPr="007D6887">
        <w:rPr>
          <w:rFonts w:ascii="Arial" w:eastAsia="Times New Roman" w:hAnsi="Arial" w:cs="Arial"/>
          <w:color w:val="000000"/>
          <w:sz w:val="20"/>
          <w:szCs w:val="20"/>
        </w:rPr>
        <w:br/>
      </w:r>
      <w:r w:rsidRPr="007D6887">
        <w:rPr>
          <w:rFonts w:ascii="Arial" w:eastAsia="Times New Roman" w:hAnsi="Arial" w:cs="Arial"/>
          <w:color w:val="000000"/>
          <w:sz w:val="20"/>
          <w:szCs w:val="20"/>
        </w:rPr>
        <w:br/>
      </w:r>
      <w:r w:rsidRPr="007D6887">
        <w:rPr>
          <w:rFonts w:ascii="Arial" w:eastAsia="Times New Roman" w:hAnsi="Arial" w:cs="Arial"/>
          <w:b/>
          <w:bCs/>
          <w:color w:val="000080"/>
          <w:sz w:val="20"/>
          <w:szCs w:val="20"/>
        </w:rPr>
        <w:t xml:space="preserve">Activation Date: </w:t>
      </w:r>
      <w:r w:rsidR="00D10E24">
        <w:rPr>
          <w:rFonts w:ascii="Arial" w:eastAsia="Times New Roman" w:hAnsi="Arial" w:cs="Arial"/>
          <w:b/>
          <w:bCs/>
          <w:color w:val="000080"/>
          <w:sz w:val="20"/>
          <w:szCs w:val="20"/>
        </w:rPr>
        <w:t>05.24.2017</w:t>
      </w:r>
      <w:r w:rsidRPr="007D6887">
        <w:rPr>
          <w:rFonts w:ascii="Arial" w:eastAsia="Times New Roman" w:hAnsi="Arial" w:cs="Arial"/>
          <w:color w:val="000000"/>
          <w:sz w:val="20"/>
          <w:szCs w:val="20"/>
        </w:rPr>
        <w:br/>
      </w:r>
      <w:r w:rsidRPr="007D6887">
        <w:rPr>
          <w:rFonts w:ascii="Arial" w:eastAsia="Times New Roman" w:hAnsi="Arial" w:cs="Arial"/>
          <w:color w:val="000000"/>
          <w:sz w:val="20"/>
          <w:szCs w:val="20"/>
        </w:rPr>
        <w:lastRenderedPageBreak/>
        <w:br/>
      </w:r>
      <w:r w:rsidRPr="007D6887">
        <w:rPr>
          <w:rFonts w:ascii="Arial" w:eastAsia="Times New Roman" w:hAnsi="Arial" w:cs="Arial"/>
          <w:b/>
          <w:bCs/>
          <w:color w:val="000000"/>
          <w:sz w:val="20"/>
          <w:szCs w:val="20"/>
        </w:rPr>
        <w:t>Scope/Procedure:</w:t>
      </w:r>
      <w:r w:rsidRPr="007D6887">
        <w:rPr>
          <w:rFonts w:ascii="Arial" w:eastAsia="Times New Roman" w:hAnsi="Arial" w:cs="Arial"/>
          <w:color w:val="000000"/>
          <w:sz w:val="20"/>
          <w:szCs w:val="20"/>
        </w:rPr>
        <w:br/>
      </w:r>
    </w:p>
    <w:p w:rsidR="005E2E3F" w:rsidRDefault="005E2E3F" w:rsidP="00D10E24">
      <w:pPr>
        <w:pStyle w:val="ListParagraph"/>
        <w:numPr>
          <w:ilvl w:val="0"/>
          <w:numId w:val="2"/>
        </w:numPr>
        <w:spacing w:after="240" w:line="240" w:lineRule="auto"/>
        <w:rPr>
          <w:rFonts w:ascii="Arial" w:eastAsia="Times New Roman" w:hAnsi="Arial" w:cs="Arial"/>
          <w:color w:val="000000"/>
          <w:sz w:val="20"/>
          <w:szCs w:val="20"/>
        </w:rPr>
      </w:pPr>
      <w:r>
        <w:rPr>
          <w:rFonts w:ascii="Arial" w:eastAsia="Times New Roman" w:hAnsi="Arial" w:cs="Arial"/>
          <w:color w:val="000000"/>
          <w:sz w:val="20"/>
          <w:szCs w:val="20"/>
        </w:rPr>
        <w:t>Background</w:t>
      </w:r>
    </w:p>
    <w:p w:rsidR="00670DB8" w:rsidRDefault="0027379C" w:rsidP="00D10E24">
      <w:pPr>
        <w:pStyle w:val="ListParagraph"/>
        <w:spacing w:after="240" w:line="240" w:lineRule="auto"/>
        <w:ind w:left="1080"/>
        <w:rPr>
          <w:rFonts w:ascii="Arial" w:eastAsia="Times New Roman" w:hAnsi="Arial" w:cs="Arial"/>
          <w:color w:val="000000"/>
          <w:sz w:val="20"/>
          <w:szCs w:val="20"/>
        </w:rPr>
      </w:pPr>
      <w:r>
        <w:rPr>
          <w:rFonts w:ascii="Arial" w:eastAsia="Times New Roman" w:hAnsi="Arial" w:cs="Arial"/>
          <w:color w:val="000000"/>
          <w:sz w:val="20"/>
          <w:szCs w:val="20"/>
        </w:rPr>
        <w:t xml:space="preserve">Tacrolimus has a narrow therapeutic index and wide variability in absorption and metabolism. </w:t>
      </w:r>
      <w:r w:rsidR="00BA4D32">
        <w:rPr>
          <w:rFonts w:ascii="Arial" w:eastAsia="Times New Roman" w:hAnsi="Arial" w:cs="Arial"/>
          <w:color w:val="000000"/>
          <w:sz w:val="20"/>
          <w:szCs w:val="20"/>
        </w:rPr>
        <w:t>Consequently, t</w:t>
      </w:r>
      <w:r w:rsidR="00CE5D3B">
        <w:rPr>
          <w:rFonts w:ascii="Arial" w:eastAsia="Times New Roman" w:hAnsi="Arial" w:cs="Arial"/>
          <w:color w:val="000000"/>
          <w:sz w:val="20"/>
          <w:szCs w:val="20"/>
        </w:rPr>
        <w:t xml:space="preserve">herapeutic drug monitoring is recommended. </w:t>
      </w:r>
      <w:r w:rsidR="00BA4D32">
        <w:rPr>
          <w:rFonts w:ascii="Arial" w:eastAsia="Times New Roman" w:hAnsi="Arial" w:cs="Arial"/>
          <w:color w:val="000000"/>
          <w:sz w:val="20"/>
          <w:szCs w:val="20"/>
        </w:rPr>
        <w:t>Typically</w:t>
      </w:r>
      <w:r w:rsidR="00CE5D3B">
        <w:rPr>
          <w:rFonts w:ascii="Arial" w:eastAsia="Times New Roman" w:hAnsi="Arial" w:cs="Arial"/>
          <w:color w:val="000000"/>
          <w:sz w:val="20"/>
          <w:szCs w:val="20"/>
        </w:rPr>
        <w:t xml:space="preserve">, trough levels of tacrolimus </w:t>
      </w:r>
      <w:r w:rsidR="00670DB8">
        <w:rPr>
          <w:rFonts w:ascii="Arial" w:eastAsia="Times New Roman" w:hAnsi="Arial" w:cs="Arial"/>
          <w:color w:val="000000"/>
          <w:sz w:val="20"/>
          <w:szCs w:val="20"/>
        </w:rPr>
        <w:t>are used to assess efficacy and toxicity. However, some patients have difficulty achieving therapeutic levels of tacrolimus and/or experience tacrolimus toxicity. These patients may benefit from more intense therapeutic drug monitoring by collecting and calculating and abbreviated area under the curve (AUC)</w:t>
      </w:r>
      <w:r w:rsidR="00A94AA8">
        <w:rPr>
          <w:rFonts w:ascii="Arial" w:eastAsia="Times New Roman" w:hAnsi="Arial" w:cs="Arial"/>
          <w:color w:val="000000"/>
          <w:sz w:val="20"/>
          <w:szCs w:val="20"/>
        </w:rPr>
        <w:t>, which may be more</w:t>
      </w:r>
      <w:r w:rsidR="006637DA">
        <w:rPr>
          <w:rFonts w:ascii="Arial" w:eastAsia="Times New Roman" w:hAnsi="Arial" w:cs="Arial"/>
          <w:color w:val="000000"/>
          <w:sz w:val="20"/>
          <w:szCs w:val="20"/>
        </w:rPr>
        <w:t xml:space="preserve"> representative of total drug exposure than trough levels</w:t>
      </w:r>
      <w:r w:rsidR="00670DB8">
        <w:rPr>
          <w:rFonts w:ascii="Arial" w:eastAsia="Times New Roman" w:hAnsi="Arial" w:cs="Arial"/>
          <w:color w:val="000000"/>
          <w:sz w:val="20"/>
          <w:szCs w:val="20"/>
        </w:rPr>
        <w:t>.</w:t>
      </w:r>
    </w:p>
    <w:p w:rsidR="00670DB8" w:rsidRPr="00D10E24" w:rsidRDefault="00670DB8" w:rsidP="00D10E24">
      <w:pPr>
        <w:pStyle w:val="ListParagraph"/>
        <w:spacing w:after="240" w:line="240" w:lineRule="auto"/>
        <w:ind w:left="1080"/>
        <w:rPr>
          <w:rFonts w:ascii="Arial" w:eastAsia="Times New Roman" w:hAnsi="Arial" w:cs="Arial"/>
          <w:color w:val="000000"/>
          <w:sz w:val="20"/>
          <w:szCs w:val="20"/>
        </w:rPr>
      </w:pPr>
    </w:p>
    <w:p w:rsidR="005E2E3F" w:rsidRDefault="007D6887" w:rsidP="00F2565A">
      <w:pPr>
        <w:pStyle w:val="ListParagraph"/>
        <w:numPr>
          <w:ilvl w:val="0"/>
          <w:numId w:val="2"/>
        </w:numPr>
        <w:spacing w:after="240" w:line="240" w:lineRule="auto"/>
        <w:rPr>
          <w:rFonts w:ascii="Arial" w:eastAsia="Times New Roman" w:hAnsi="Arial" w:cs="Arial"/>
          <w:color w:val="000000"/>
          <w:sz w:val="20"/>
          <w:szCs w:val="20"/>
        </w:rPr>
      </w:pPr>
      <w:r>
        <w:rPr>
          <w:rFonts w:ascii="Arial" w:eastAsia="Times New Roman" w:hAnsi="Arial" w:cs="Arial"/>
          <w:color w:val="000000"/>
          <w:sz w:val="20"/>
          <w:szCs w:val="20"/>
        </w:rPr>
        <w:t>Criteria for Monitoring Area Under the Curve</w:t>
      </w:r>
      <w:r w:rsidRPr="00D10E24">
        <w:rPr>
          <w:rFonts w:ascii="Arial" w:eastAsia="Times New Roman" w:hAnsi="Arial" w:cs="Arial"/>
          <w:color w:val="000000"/>
          <w:sz w:val="20"/>
          <w:szCs w:val="20"/>
        </w:rPr>
        <w:br/>
        <w:t xml:space="preserve">Any recipient receiving </w:t>
      </w:r>
      <w:r w:rsidR="00670DB8">
        <w:rPr>
          <w:rFonts w:ascii="Arial" w:eastAsia="Times New Roman" w:hAnsi="Arial" w:cs="Arial"/>
          <w:color w:val="000000"/>
          <w:sz w:val="20"/>
          <w:szCs w:val="20"/>
        </w:rPr>
        <w:t>t</w:t>
      </w:r>
      <w:r w:rsidRPr="00D10E24">
        <w:rPr>
          <w:rFonts w:ascii="Arial" w:eastAsia="Times New Roman" w:hAnsi="Arial" w:cs="Arial"/>
          <w:color w:val="000000"/>
          <w:sz w:val="20"/>
          <w:szCs w:val="20"/>
        </w:rPr>
        <w:t>acrolimus with the following clinical findings may have AUC levels</w:t>
      </w:r>
      <w:proofErr w:type="gramStart"/>
      <w:r w:rsidRPr="00D10E24">
        <w:rPr>
          <w:rFonts w:ascii="Arial" w:eastAsia="Times New Roman" w:hAnsi="Arial" w:cs="Arial"/>
          <w:color w:val="000000"/>
          <w:sz w:val="20"/>
          <w:szCs w:val="20"/>
        </w:rPr>
        <w:t>:</w:t>
      </w:r>
      <w:proofErr w:type="gramEnd"/>
      <w:r w:rsidRPr="00D10E24">
        <w:rPr>
          <w:rFonts w:ascii="Arial" w:eastAsia="Times New Roman" w:hAnsi="Arial" w:cs="Arial"/>
          <w:color w:val="000000"/>
          <w:sz w:val="20"/>
          <w:szCs w:val="20"/>
        </w:rPr>
        <w:br/>
      </w:r>
      <w:r w:rsidRPr="00D10E24">
        <w:rPr>
          <w:rFonts w:ascii="Arial" w:eastAsia="Times New Roman" w:hAnsi="Arial" w:cs="Arial"/>
          <w:color w:val="000000"/>
          <w:sz w:val="20"/>
          <w:szCs w:val="20"/>
        </w:rPr>
        <w:br/>
      </w:r>
      <w:r w:rsidR="004C2D8F">
        <w:rPr>
          <w:rFonts w:ascii="Arial" w:eastAsia="Times New Roman" w:hAnsi="Arial" w:cs="Arial"/>
          <w:color w:val="000000"/>
          <w:sz w:val="20"/>
          <w:szCs w:val="20"/>
        </w:rPr>
        <w:t xml:space="preserve">a.  </w:t>
      </w:r>
      <w:r w:rsidRPr="00D10E24">
        <w:rPr>
          <w:rFonts w:ascii="Arial" w:eastAsia="Times New Roman" w:hAnsi="Arial" w:cs="Arial"/>
          <w:color w:val="000000"/>
          <w:sz w:val="20"/>
          <w:szCs w:val="20"/>
        </w:rPr>
        <w:t xml:space="preserve">Suspicion of </w:t>
      </w:r>
      <w:r w:rsidR="00670DB8">
        <w:rPr>
          <w:rFonts w:ascii="Arial" w:eastAsia="Times New Roman" w:hAnsi="Arial" w:cs="Arial"/>
          <w:color w:val="000000"/>
          <w:sz w:val="20"/>
          <w:szCs w:val="20"/>
        </w:rPr>
        <w:t xml:space="preserve">or biopsy proven </w:t>
      </w:r>
      <w:proofErr w:type="spellStart"/>
      <w:r w:rsidRPr="00D10E24">
        <w:rPr>
          <w:rFonts w:ascii="Arial" w:eastAsia="Times New Roman" w:hAnsi="Arial" w:cs="Arial"/>
          <w:color w:val="000000"/>
          <w:sz w:val="20"/>
          <w:szCs w:val="20"/>
        </w:rPr>
        <w:t>calcin</w:t>
      </w:r>
      <w:r w:rsidR="00670DB8">
        <w:rPr>
          <w:rFonts w:ascii="Arial" w:eastAsia="Times New Roman" w:hAnsi="Arial" w:cs="Arial"/>
          <w:color w:val="000000"/>
          <w:sz w:val="20"/>
          <w:szCs w:val="20"/>
        </w:rPr>
        <w:t>e</w:t>
      </w:r>
      <w:r w:rsidRPr="00D10E24">
        <w:rPr>
          <w:rFonts w:ascii="Arial" w:eastAsia="Times New Roman" w:hAnsi="Arial" w:cs="Arial"/>
          <w:color w:val="000000"/>
          <w:sz w:val="20"/>
          <w:szCs w:val="20"/>
        </w:rPr>
        <w:t>urin</w:t>
      </w:r>
      <w:proofErr w:type="spellEnd"/>
      <w:r w:rsidRPr="00D10E24">
        <w:rPr>
          <w:rFonts w:ascii="Arial" w:eastAsia="Times New Roman" w:hAnsi="Arial" w:cs="Arial"/>
          <w:color w:val="000000"/>
          <w:sz w:val="20"/>
          <w:szCs w:val="20"/>
        </w:rPr>
        <w:t xml:space="preserve"> inhibitor toxicity</w:t>
      </w:r>
      <w:r w:rsidRPr="00D10E24">
        <w:rPr>
          <w:rFonts w:ascii="Arial" w:eastAsia="Times New Roman" w:hAnsi="Arial" w:cs="Arial"/>
          <w:color w:val="000000"/>
          <w:sz w:val="20"/>
          <w:szCs w:val="20"/>
        </w:rPr>
        <w:br/>
      </w:r>
      <w:r w:rsidR="004C2D8F">
        <w:rPr>
          <w:rFonts w:ascii="Arial" w:eastAsia="Times New Roman" w:hAnsi="Arial" w:cs="Arial"/>
          <w:color w:val="000000"/>
          <w:sz w:val="20"/>
          <w:szCs w:val="20"/>
        </w:rPr>
        <w:t xml:space="preserve">b.  </w:t>
      </w:r>
      <w:r w:rsidRPr="00D10E24">
        <w:rPr>
          <w:rFonts w:ascii="Arial" w:eastAsia="Times New Roman" w:hAnsi="Arial" w:cs="Arial"/>
          <w:color w:val="000000"/>
          <w:sz w:val="20"/>
          <w:szCs w:val="20"/>
        </w:rPr>
        <w:t>Inability to achieve targeted 12</w:t>
      </w:r>
      <w:r w:rsidR="006637DA">
        <w:rPr>
          <w:rFonts w:ascii="Arial" w:eastAsia="Times New Roman" w:hAnsi="Arial" w:cs="Arial"/>
          <w:color w:val="000000"/>
          <w:sz w:val="20"/>
          <w:szCs w:val="20"/>
        </w:rPr>
        <w:t xml:space="preserve"> </w:t>
      </w:r>
      <w:r w:rsidRPr="00D10E24">
        <w:rPr>
          <w:rFonts w:ascii="Arial" w:eastAsia="Times New Roman" w:hAnsi="Arial" w:cs="Arial"/>
          <w:color w:val="000000"/>
          <w:sz w:val="20"/>
          <w:szCs w:val="20"/>
        </w:rPr>
        <w:t>h</w:t>
      </w:r>
      <w:r w:rsidR="006637DA">
        <w:rPr>
          <w:rFonts w:ascii="Arial" w:eastAsia="Times New Roman" w:hAnsi="Arial" w:cs="Arial"/>
          <w:color w:val="000000"/>
          <w:sz w:val="20"/>
          <w:szCs w:val="20"/>
        </w:rPr>
        <w:t>ou</w:t>
      </w:r>
      <w:r w:rsidRPr="00D10E24">
        <w:rPr>
          <w:rFonts w:ascii="Arial" w:eastAsia="Times New Roman" w:hAnsi="Arial" w:cs="Arial"/>
          <w:color w:val="000000"/>
          <w:sz w:val="20"/>
          <w:szCs w:val="20"/>
        </w:rPr>
        <w:t xml:space="preserve">r trough </w:t>
      </w:r>
      <w:r w:rsidR="006637DA">
        <w:rPr>
          <w:rFonts w:ascii="Arial" w:eastAsia="Times New Roman" w:hAnsi="Arial" w:cs="Arial"/>
          <w:color w:val="000000"/>
          <w:sz w:val="20"/>
          <w:szCs w:val="20"/>
        </w:rPr>
        <w:t>t</w:t>
      </w:r>
      <w:r w:rsidRPr="00D10E24">
        <w:rPr>
          <w:rFonts w:ascii="Arial" w:eastAsia="Times New Roman" w:hAnsi="Arial" w:cs="Arial"/>
          <w:color w:val="000000"/>
          <w:sz w:val="20"/>
          <w:szCs w:val="20"/>
        </w:rPr>
        <w:t>acrolimus level despite apparent adequate/high dosing</w:t>
      </w:r>
      <w:r w:rsidR="00CC10E6">
        <w:rPr>
          <w:rFonts w:ascii="Arial" w:eastAsia="Times New Roman" w:hAnsi="Arial" w:cs="Arial"/>
          <w:color w:val="000000"/>
          <w:sz w:val="20"/>
          <w:szCs w:val="20"/>
        </w:rPr>
        <w:t xml:space="preserve"> and appropriate adherence</w:t>
      </w:r>
    </w:p>
    <w:p w:rsidR="00425656" w:rsidRDefault="00425656" w:rsidP="00425656">
      <w:pPr>
        <w:pStyle w:val="ListParagraph"/>
        <w:spacing w:after="240" w:line="240" w:lineRule="auto"/>
        <w:ind w:left="1080"/>
        <w:rPr>
          <w:rFonts w:ascii="Arial" w:eastAsia="Times New Roman" w:hAnsi="Arial" w:cs="Arial"/>
          <w:color w:val="000000"/>
          <w:sz w:val="20"/>
          <w:szCs w:val="20"/>
        </w:rPr>
      </w:pPr>
    </w:p>
    <w:p w:rsidR="00066FE5" w:rsidRPr="00066FE5" w:rsidRDefault="00066FE5" w:rsidP="00D10E24">
      <w:pPr>
        <w:pStyle w:val="ListParagraph"/>
        <w:numPr>
          <w:ilvl w:val="0"/>
          <w:numId w:val="2"/>
        </w:numPr>
        <w:spacing w:after="240" w:line="240" w:lineRule="auto"/>
        <w:rPr>
          <w:rFonts w:ascii="Arial" w:eastAsia="Times New Roman" w:hAnsi="Arial" w:cs="Arial"/>
          <w:color w:val="000000"/>
          <w:sz w:val="20"/>
          <w:szCs w:val="20"/>
        </w:rPr>
      </w:pPr>
      <w:r w:rsidRPr="00066FE5">
        <w:rPr>
          <w:rFonts w:ascii="Arial" w:eastAsia="Times New Roman" w:hAnsi="Arial" w:cs="Arial"/>
          <w:color w:val="000000"/>
          <w:sz w:val="20"/>
          <w:szCs w:val="20"/>
        </w:rPr>
        <w:t>Assistance with Calculating Area Under the Curve and Adjusting Doses</w:t>
      </w:r>
    </w:p>
    <w:p w:rsidR="00066FE5" w:rsidRPr="00425656" w:rsidRDefault="00066FE5" w:rsidP="00425656">
      <w:pPr>
        <w:pStyle w:val="ListParagraph"/>
        <w:numPr>
          <w:ilvl w:val="1"/>
          <w:numId w:val="2"/>
        </w:numPr>
        <w:rPr>
          <w:rFonts w:ascii="Arial" w:hAnsi="Arial" w:cs="Arial"/>
          <w:color w:val="000000" w:themeColor="text1"/>
          <w:sz w:val="20"/>
          <w:szCs w:val="20"/>
        </w:rPr>
      </w:pPr>
      <w:r w:rsidRPr="00425656">
        <w:rPr>
          <w:rFonts w:ascii="Arial" w:hAnsi="Arial" w:cs="Arial"/>
          <w:color w:val="000000" w:themeColor="text1"/>
          <w:sz w:val="20"/>
          <w:szCs w:val="20"/>
        </w:rPr>
        <w:t>For patients requiring an AUC to be measured, a pharmacotherapy consult should be initiated by contacting a kidney transplant pharmacist to assist with calculations and dosing.</w:t>
      </w:r>
    </w:p>
    <w:p w:rsidR="00066FE5" w:rsidRPr="002F4E2A" w:rsidRDefault="00066FE5" w:rsidP="00425656">
      <w:pPr>
        <w:pStyle w:val="ListParagraph"/>
        <w:rPr>
          <w:rFonts w:ascii="Arial" w:eastAsia="Times New Roman" w:hAnsi="Arial" w:cs="Arial"/>
          <w:color w:val="000000"/>
          <w:sz w:val="20"/>
          <w:szCs w:val="20"/>
        </w:rPr>
      </w:pPr>
    </w:p>
    <w:p w:rsidR="005E2E3F" w:rsidRPr="00425656" w:rsidRDefault="005E2E3F" w:rsidP="002F4E2A">
      <w:pPr>
        <w:pStyle w:val="ListParagraph"/>
        <w:numPr>
          <w:ilvl w:val="0"/>
          <w:numId w:val="2"/>
        </w:numPr>
        <w:spacing w:after="240" w:line="240" w:lineRule="auto"/>
        <w:rPr>
          <w:rFonts w:ascii="Arial" w:eastAsia="Times New Roman" w:hAnsi="Arial" w:cs="Arial"/>
          <w:color w:val="000000"/>
          <w:sz w:val="20"/>
          <w:szCs w:val="20"/>
        </w:rPr>
      </w:pPr>
      <w:r w:rsidRPr="002F4E2A">
        <w:rPr>
          <w:rFonts w:ascii="Arial" w:eastAsia="Times New Roman" w:hAnsi="Arial" w:cs="Arial"/>
          <w:color w:val="000000"/>
          <w:sz w:val="20"/>
          <w:szCs w:val="20"/>
        </w:rPr>
        <w:t>Monitoring and Calculating</w:t>
      </w:r>
      <w:r w:rsidR="00EF2B0C" w:rsidRPr="002F4E2A">
        <w:rPr>
          <w:rFonts w:ascii="Arial" w:eastAsia="Times New Roman" w:hAnsi="Arial" w:cs="Arial"/>
          <w:color w:val="000000"/>
          <w:sz w:val="20"/>
          <w:szCs w:val="20"/>
        </w:rPr>
        <w:t xml:space="preserve"> </w:t>
      </w:r>
      <w:r w:rsidR="0008029E">
        <w:rPr>
          <w:rFonts w:ascii="Arial" w:eastAsia="Times New Roman" w:hAnsi="Arial" w:cs="Arial"/>
          <w:color w:val="000000"/>
          <w:sz w:val="20"/>
          <w:szCs w:val="20"/>
        </w:rPr>
        <w:t>AUC</w:t>
      </w:r>
      <w:r w:rsidR="001F3E1D" w:rsidRPr="002F4E2A">
        <w:rPr>
          <w:rFonts w:ascii="Arial" w:eastAsia="Times New Roman" w:hAnsi="Arial" w:cs="Arial"/>
          <w:color w:val="000000"/>
          <w:sz w:val="20"/>
          <w:szCs w:val="20"/>
        </w:rPr>
        <w:t xml:space="preserve"> </w:t>
      </w:r>
      <w:r w:rsidR="007D6887" w:rsidRPr="002F4E2A">
        <w:rPr>
          <w:rFonts w:ascii="Arial" w:eastAsia="Times New Roman" w:hAnsi="Arial" w:cs="Arial"/>
          <w:color w:val="000000"/>
          <w:sz w:val="20"/>
          <w:szCs w:val="20"/>
        </w:rPr>
        <w:t>requires 4 (four) blood samples drawn at the following times:</w:t>
      </w:r>
      <w:r w:rsidR="007D6887" w:rsidRPr="002F4E2A">
        <w:rPr>
          <w:rFonts w:ascii="Arial" w:eastAsia="Times New Roman" w:hAnsi="Arial" w:cs="Arial"/>
          <w:color w:val="000000"/>
          <w:sz w:val="20"/>
          <w:szCs w:val="20"/>
        </w:rPr>
        <w:br/>
        <w:t xml:space="preserve">1- Trough Level: Before </w:t>
      </w:r>
      <w:r w:rsidR="00BA4D32">
        <w:rPr>
          <w:rFonts w:ascii="Arial" w:eastAsia="Times New Roman" w:hAnsi="Arial" w:cs="Arial"/>
          <w:color w:val="000000"/>
          <w:sz w:val="20"/>
          <w:szCs w:val="20"/>
        </w:rPr>
        <w:t>AM</w:t>
      </w:r>
      <w:r w:rsidR="00BA4D32" w:rsidRPr="002F4E2A">
        <w:rPr>
          <w:rFonts w:ascii="Arial" w:eastAsia="Times New Roman" w:hAnsi="Arial" w:cs="Arial"/>
          <w:color w:val="000000"/>
          <w:sz w:val="20"/>
          <w:szCs w:val="20"/>
        </w:rPr>
        <w:t xml:space="preserve"> </w:t>
      </w:r>
      <w:r w:rsidR="007D6887" w:rsidRPr="002F4E2A">
        <w:rPr>
          <w:rFonts w:ascii="Arial" w:eastAsia="Times New Roman" w:hAnsi="Arial" w:cs="Arial"/>
          <w:color w:val="000000"/>
          <w:sz w:val="20"/>
          <w:szCs w:val="20"/>
        </w:rPr>
        <w:t>dose (T</w:t>
      </w:r>
      <w:r w:rsidR="00BA4D32">
        <w:rPr>
          <w:rFonts w:ascii="Arial" w:eastAsia="Times New Roman" w:hAnsi="Arial" w:cs="Arial"/>
          <w:color w:val="000000"/>
          <w:sz w:val="20"/>
          <w:szCs w:val="20"/>
        </w:rPr>
        <w:t>0</w:t>
      </w:r>
      <w:r w:rsidR="007D6887" w:rsidRPr="002F4E2A">
        <w:rPr>
          <w:rFonts w:ascii="Arial" w:eastAsia="Times New Roman" w:hAnsi="Arial" w:cs="Arial"/>
          <w:color w:val="000000"/>
          <w:sz w:val="20"/>
          <w:szCs w:val="20"/>
        </w:rPr>
        <w:t>)</w:t>
      </w:r>
      <w:r w:rsidR="007D6887" w:rsidRPr="002F4E2A">
        <w:rPr>
          <w:rFonts w:ascii="Arial" w:eastAsia="Times New Roman" w:hAnsi="Arial" w:cs="Arial"/>
          <w:color w:val="000000"/>
          <w:sz w:val="20"/>
          <w:szCs w:val="20"/>
        </w:rPr>
        <w:br/>
        <w:t>2- 1 hr. post dose (T1)</w:t>
      </w:r>
      <w:r w:rsidR="007D6887" w:rsidRPr="002F4E2A">
        <w:rPr>
          <w:rFonts w:ascii="Arial" w:eastAsia="Times New Roman" w:hAnsi="Arial" w:cs="Arial"/>
          <w:color w:val="000000"/>
          <w:sz w:val="20"/>
          <w:szCs w:val="20"/>
        </w:rPr>
        <w:br/>
        <w:t>3- 2 hr. post dose (T2)</w:t>
      </w:r>
      <w:r w:rsidR="007D6887" w:rsidRPr="002F4E2A">
        <w:rPr>
          <w:rFonts w:ascii="Arial" w:eastAsia="Times New Roman" w:hAnsi="Arial" w:cs="Arial"/>
          <w:color w:val="000000"/>
          <w:sz w:val="20"/>
          <w:szCs w:val="20"/>
        </w:rPr>
        <w:br/>
        <w:t>4- 4 hr. post dose (T4)</w:t>
      </w:r>
      <w:r w:rsidR="007D6887" w:rsidRPr="002F4E2A">
        <w:rPr>
          <w:rFonts w:ascii="Arial" w:eastAsia="Times New Roman" w:hAnsi="Arial" w:cs="Arial"/>
          <w:color w:val="000000"/>
          <w:sz w:val="20"/>
          <w:szCs w:val="20"/>
        </w:rPr>
        <w:br/>
        <w:t>AUC is calculated as: 10 + 1.4 (T</w:t>
      </w:r>
      <w:r w:rsidR="00BA4D32">
        <w:rPr>
          <w:rFonts w:ascii="Arial" w:eastAsia="Times New Roman" w:hAnsi="Arial" w:cs="Arial"/>
          <w:color w:val="000000"/>
          <w:sz w:val="20"/>
          <w:szCs w:val="20"/>
        </w:rPr>
        <w:t>0</w:t>
      </w:r>
      <w:r w:rsidR="007D6887" w:rsidRPr="00425656">
        <w:rPr>
          <w:rFonts w:ascii="Arial" w:eastAsia="Times New Roman" w:hAnsi="Arial" w:cs="Arial"/>
          <w:color w:val="000000"/>
          <w:sz w:val="20"/>
          <w:szCs w:val="20"/>
        </w:rPr>
        <w:t>) + 0.8 (T1) + 1.6 (T2) + 5.5 (T4)</w:t>
      </w:r>
    </w:p>
    <w:p w:rsidR="005277E3" w:rsidRPr="00425656" w:rsidRDefault="005277E3" w:rsidP="00425656">
      <w:pPr>
        <w:pStyle w:val="ListParagraph"/>
        <w:rPr>
          <w:rFonts w:ascii="Arial" w:eastAsia="Times New Roman" w:hAnsi="Arial" w:cs="Arial"/>
          <w:color w:val="000000"/>
          <w:sz w:val="20"/>
          <w:szCs w:val="20"/>
        </w:rPr>
      </w:pPr>
    </w:p>
    <w:p w:rsidR="005277E3" w:rsidRDefault="005277E3" w:rsidP="00425656">
      <w:pPr>
        <w:pStyle w:val="ListParagraph"/>
        <w:spacing w:after="240" w:line="240" w:lineRule="auto"/>
        <w:ind w:left="1080"/>
        <w:rPr>
          <w:rFonts w:ascii="Arial" w:eastAsia="Times New Roman" w:hAnsi="Arial" w:cs="Arial"/>
          <w:color w:val="000000"/>
          <w:sz w:val="20"/>
          <w:szCs w:val="20"/>
        </w:rPr>
      </w:pPr>
    </w:p>
    <w:p w:rsidR="005277E3" w:rsidRPr="005277E3" w:rsidRDefault="002F4E2A">
      <w:pPr>
        <w:pStyle w:val="ListParagraph"/>
        <w:numPr>
          <w:ilvl w:val="0"/>
          <w:numId w:val="2"/>
        </w:numPr>
        <w:spacing w:after="240" w:line="240" w:lineRule="auto"/>
        <w:rPr>
          <w:rFonts w:ascii="Arial" w:eastAsia="Times New Roman" w:hAnsi="Arial" w:cs="Arial"/>
          <w:color w:val="000000"/>
          <w:sz w:val="20"/>
          <w:szCs w:val="20"/>
        </w:rPr>
      </w:pPr>
      <w:r>
        <w:rPr>
          <w:rFonts w:ascii="Arial" w:eastAsia="Times New Roman" w:hAnsi="Arial" w:cs="Arial"/>
          <w:color w:val="000000"/>
          <w:sz w:val="20"/>
          <w:szCs w:val="20"/>
        </w:rPr>
        <w:t>Correlating Tacrolimus AUC and Trough L</w:t>
      </w:r>
      <w:r w:rsidR="005E2E3F">
        <w:rPr>
          <w:rFonts w:ascii="Arial" w:eastAsia="Times New Roman" w:hAnsi="Arial" w:cs="Arial"/>
          <w:color w:val="000000"/>
          <w:sz w:val="20"/>
          <w:szCs w:val="20"/>
        </w:rPr>
        <w:t>evels</w:t>
      </w:r>
    </w:p>
    <w:tbl>
      <w:tblPr>
        <w:tblStyle w:val="TableGrid"/>
        <w:tblW w:w="0" w:type="auto"/>
        <w:tblInd w:w="2335" w:type="dxa"/>
        <w:tblLook w:val="04A0" w:firstRow="1" w:lastRow="0" w:firstColumn="1" w:lastColumn="0" w:noHBand="0" w:noVBand="1"/>
      </w:tblPr>
      <w:tblGrid>
        <w:gridCol w:w="2340"/>
        <w:gridCol w:w="2700"/>
      </w:tblGrid>
      <w:tr w:rsidR="005277E3" w:rsidTr="00FE6AD9">
        <w:tc>
          <w:tcPr>
            <w:tcW w:w="2340" w:type="dxa"/>
          </w:tcPr>
          <w:p w:rsidR="005277E3" w:rsidRPr="00425656" w:rsidRDefault="005277E3" w:rsidP="00FE6AD9">
            <w:pPr>
              <w:rPr>
                <w:color w:val="000000" w:themeColor="text1"/>
              </w:rPr>
            </w:pPr>
            <w:r w:rsidRPr="00425656">
              <w:rPr>
                <w:color w:val="000000" w:themeColor="text1"/>
              </w:rPr>
              <w:t>Goal Tacrolimus Trough</w:t>
            </w:r>
          </w:p>
        </w:tc>
        <w:tc>
          <w:tcPr>
            <w:tcW w:w="2700" w:type="dxa"/>
          </w:tcPr>
          <w:p w:rsidR="005277E3" w:rsidRPr="00425656" w:rsidRDefault="005277E3" w:rsidP="00FE6AD9">
            <w:pPr>
              <w:rPr>
                <w:color w:val="000000" w:themeColor="text1"/>
              </w:rPr>
            </w:pPr>
            <w:r w:rsidRPr="00425656">
              <w:rPr>
                <w:color w:val="000000" w:themeColor="text1"/>
              </w:rPr>
              <w:t>Correlating Tacrolimus AUC</w:t>
            </w:r>
          </w:p>
        </w:tc>
      </w:tr>
      <w:tr w:rsidR="005277E3" w:rsidTr="00FE6AD9">
        <w:tc>
          <w:tcPr>
            <w:tcW w:w="2340" w:type="dxa"/>
          </w:tcPr>
          <w:p w:rsidR="005277E3" w:rsidRPr="00425656" w:rsidRDefault="005277E3" w:rsidP="00FE6AD9">
            <w:pPr>
              <w:jc w:val="center"/>
              <w:rPr>
                <w:color w:val="000000" w:themeColor="text1"/>
              </w:rPr>
            </w:pPr>
            <w:r w:rsidRPr="00425656">
              <w:rPr>
                <w:color w:val="000000" w:themeColor="text1"/>
              </w:rPr>
              <w:t>8 – 12</w:t>
            </w:r>
          </w:p>
        </w:tc>
        <w:tc>
          <w:tcPr>
            <w:tcW w:w="2700" w:type="dxa"/>
          </w:tcPr>
          <w:p w:rsidR="005277E3" w:rsidRPr="00425656" w:rsidRDefault="00414082" w:rsidP="00FE6AD9">
            <w:pPr>
              <w:jc w:val="center"/>
              <w:rPr>
                <w:color w:val="000000" w:themeColor="text1"/>
              </w:rPr>
            </w:pPr>
            <w:r w:rsidRPr="00425656">
              <w:rPr>
                <w:color w:val="000000" w:themeColor="text1"/>
              </w:rPr>
              <w:t>150 – 225</w:t>
            </w:r>
          </w:p>
        </w:tc>
      </w:tr>
      <w:tr w:rsidR="005277E3" w:rsidTr="00FE6AD9">
        <w:tc>
          <w:tcPr>
            <w:tcW w:w="2340" w:type="dxa"/>
          </w:tcPr>
          <w:p w:rsidR="005277E3" w:rsidRPr="00425656" w:rsidRDefault="005277E3" w:rsidP="00FE6AD9">
            <w:pPr>
              <w:jc w:val="center"/>
              <w:rPr>
                <w:color w:val="000000" w:themeColor="text1"/>
              </w:rPr>
            </w:pPr>
            <w:r w:rsidRPr="00425656">
              <w:rPr>
                <w:color w:val="000000" w:themeColor="text1"/>
              </w:rPr>
              <w:t>5 – 8</w:t>
            </w:r>
          </w:p>
        </w:tc>
        <w:tc>
          <w:tcPr>
            <w:tcW w:w="2700" w:type="dxa"/>
          </w:tcPr>
          <w:p w:rsidR="005277E3" w:rsidRPr="00425656" w:rsidRDefault="005277E3" w:rsidP="00414082">
            <w:pPr>
              <w:jc w:val="center"/>
              <w:rPr>
                <w:color w:val="000000" w:themeColor="text1"/>
              </w:rPr>
            </w:pPr>
            <w:r w:rsidRPr="00425656">
              <w:rPr>
                <w:color w:val="000000" w:themeColor="text1"/>
              </w:rPr>
              <w:t>100 – 1</w:t>
            </w:r>
            <w:r w:rsidR="00414082" w:rsidRPr="00425656">
              <w:rPr>
                <w:color w:val="000000" w:themeColor="text1"/>
              </w:rPr>
              <w:t>50</w:t>
            </w:r>
          </w:p>
        </w:tc>
      </w:tr>
      <w:tr w:rsidR="005277E3" w:rsidTr="00FE6AD9">
        <w:tc>
          <w:tcPr>
            <w:tcW w:w="2340" w:type="dxa"/>
          </w:tcPr>
          <w:p w:rsidR="005277E3" w:rsidRPr="00425656" w:rsidRDefault="005277E3" w:rsidP="00FE6AD9">
            <w:pPr>
              <w:jc w:val="center"/>
              <w:rPr>
                <w:color w:val="000000" w:themeColor="text1"/>
              </w:rPr>
            </w:pPr>
            <w:r w:rsidRPr="00425656">
              <w:rPr>
                <w:color w:val="000000" w:themeColor="text1"/>
              </w:rPr>
              <w:t>3 – 5</w:t>
            </w:r>
          </w:p>
        </w:tc>
        <w:tc>
          <w:tcPr>
            <w:tcW w:w="2700" w:type="dxa"/>
          </w:tcPr>
          <w:p w:rsidR="005277E3" w:rsidRPr="00425656" w:rsidRDefault="00E52EB8" w:rsidP="00FE6AD9">
            <w:pPr>
              <w:jc w:val="center"/>
              <w:rPr>
                <w:color w:val="000000" w:themeColor="text1"/>
              </w:rPr>
            </w:pPr>
            <w:r w:rsidRPr="00425656">
              <w:rPr>
                <w:color w:val="000000" w:themeColor="text1"/>
              </w:rPr>
              <w:t>50</w:t>
            </w:r>
            <w:r w:rsidR="005277E3" w:rsidRPr="00425656">
              <w:rPr>
                <w:color w:val="000000" w:themeColor="text1"/>
              </w:rPr>
              <w:t xml:space="preserve"> – 100</w:t>
            </w:r>
          </w:p>
        </w:tc>
      </w:tr>
    </w:tbl>
    <w:p w:rsidR="00DE7E38" w:rsidRPr="00425656" w:rsidRDefault="00DE7E38" w:rsidP="00425656">
      <w:pPr>
        <w:spacing w:after="240" w:line="240" w:lineRule="auto"/>
        <w:rPr>
          <w:rFonts w:ascii="Arial" w:eastAsia="Times New Roman" w:hAnsi="Arial" w:cs="Arial"/>
          <w:color w:val="000000"/>
          <w:sz w:val="20"/>
          <w:szCs w:val="20"/>
        </w:rPr>
      </w:pPr>
    </w:p>
    <w:p w:rsidR="003720D1" w:rsidRDefault="00DE7E38" w:rsidP="00425656">
      <w:pPr>
        <w:pStyle w:val="ListParagraph"/>
        <w:spacing w:after="240" w:line="240" w:lineRule="auto"/>
        <w:ind w:left="1080"/>
        <w:rPr>
          <w:rFonts w:ascii="Arial" w:eastAsia="Times New Roman" w:hAnsi="Arial" w:cs="Arial"/>
          <w:color w:val="000000"/>
          <w:sz w:val="20"/>
          <w:szCs w:val="20"/>
        </w:rPr>
      </w:pPr>
      <w:r>
        <w:rPr>
          <w:rFonts w:ascii="Arial" w:eastAsia="Times New Roman" w:hAnsi="Arial" w:cs="Arial"/>
          <w:color w:val="000000"/>
          <w:sz w:val="20"/>
          <w:szCs w:val="20"/>
        </w:rPr>
        <w:t xml:space="preserve">After calculating AUC based on the patient’s level, compare </w:t>
      </w:r>
      <w:r w:rsidR="00A94AA8">
        <w:rPr>
          <w:rFonts w:ascii="Arial" w:eastAsia="Times New Roman" w:hAnsi="Arial" w:cs="Arial"/>
          <w:color w:val="000000"/>
          <w:sz w:val="20"/>
          <w:szCs w:val="20"/>
        </w:rPr>
        <w:t xml:space="preserve">the AUC </w:t>
      </w:r>
      <w:r>
        <w:rPr>
          <w:rFonts w:ascii="Arial" w:eastAsia="Times New Roman" w:hAnsi="Arial" w:cs="Arial"/>
          <w:color w:val="000000"/>
          <w:sz w:val="20"/>
          <w:szCs w:val="20"/>
        </w:rPr>
        <w:t xml:space="preserve">to the correlating tacrolimus trough and </w:t>
      </w:r>
      <w:r>
        <w:rPr>
          <w:rFonts w:ascii="Arial" w:eastAsia="Times New Roman" w:hAnsi="Arial" w:cs="Arial"/>
          <w:color w:val="000000"/>
          <w:sz w:val="20"/>
          <w:szCs w:val="20"/>
        </w:rPr>
        <w:lastRenderedPageBreak/>
        <w:t>trough</w:t>
      </w:r>
      <w:r w:rsidR="00A94AA8">
        <w:rPr>
          <w:rFonts w:ascii="Arial" w:eastAsia="Times New Roman" w:hAnsi="Arial" w:cs="Arial"/>
          <w:color w:val="000000"/>
          <w:sz w:val="20"/>
          <w:szCs w:val="20"/>
        </w:rPr>
        <w:t xml:space="preserve"> that was drawn prior to dose. </w:t>
      </w:r>
      <w:r w:rsidR="00931156">
        <w:rPr>
          <w:rFonts w:ascii="Arial" w:eastAsia="Times New Roman" w:hAnsi="Arial" w:cs="Arial"/>
          <w:color w:val="000000"/>
          <w:sz w:val="20"/>
          <w:szCs w:val="20"/>
        </w:rPr>
        <w:t>T</w:t>
      </w:r>
      <w:r w:rsidR="00A94AA8">
        <w:rPr>
          <w:rFonts w:ascii="Arial" w:eastAsia="Times New Roman" w:hAnsi="Arial" w:cs="Arial"/>
          <w:color w:val="000000"/>
          <w:sz w:val="20"/>
          <w:szCs w:val="20"/>
        </w:rPr>
        <w:t xml:space="preserve">acrolimus troughs are </w:t>
      </w:r>
      <w:r w:rsidR="00931156">
        <w:rPr>
          <w:rFonts w:ascii="Arial" w:eastAsia="Times New Roman" w:hAnsi="Arial" w:cs="Arial"/>
          <w:color w:val="000000"/>
          <w:sz w:val="20"/>
          <w:szCs w:val="20"/>
        </w:rPr>
        <w:t xml:space="preserve">sometimes </w:t>
      </w:r>
      <w:r w:rsidR="00A94AA8">
        <w:rPr>
          <w:rFonts w:ascii="Arial" w:eastAsia="Times New Roman" w:hAnsi="Arial" w:cs="Arial"/>
          <w:color w:val="000000"/>
          <w:sz w:val="20"/>
          <w:szCs w:val="20"/>
        </w:rPr>
        <w:t xml:space="preserve">not representative of overall drug exposure </w:t>
      </w:r>
      <w:r w:rsidR="001C4824">
        <w:rPr>
          <w:rFonts w:ascii="Arial" w:eastAsia="Times New Roman" w:hAnsi="Arial" w:cs="Arial"/>
          <w:color w:val="000000"/>
          <w:sz w:val="20"/>
          <w:szCs w:val="20"/>
        </w:rPr>
        <w:t xml:space="preserve">and do not necessarily </w:t>
      </w:r>
      <w:r w:rsidR="00EE6DBC">
        <w:rPr>
          <w:rFonts w:ascii="Arial" w:eastAsia="Times New Roman" w:hAnsi="Arial" w:cs="Arial"/>
          <w:color w:val="000000"/>
          <w:sz w:val="20"/>
          <w:szCs w:val="20"/>
        </w:rPr>
        <w:t>correlate with the expected AUC. Therefore, dose adjustments may need to be made or additional medications may need to be added to increase levels of tacrolimus.</w:t>
      </w:r>
    </w:p>
    <w:p w:rsidR="00066FE5" w:rsidRPr="00425656" w:rsidRDefault="007D6887" w:rsidP="00425656">
      <w:pPr>
        <w:pStyle w:val="ListParagraph"/>
        <w:spacing w:after="240" w:line="240" w:lineRule="auto"/>
        <w:ind w:left="1080"/>
        <w:rPr>
          <w:rFonts w:ascii="Arial" w:eastAsia="Times New Roman" w:hAnsi="Arial" w:cs="Arial"/>
          <w:color w:val="000000"/>
          <w:sz w:val="20"/>
          <w:szCs w:val="20"/>
        </w:rPr>
      </w:pPr>
      <w:r w:rsidRPr="00425656">
        <w:rPr>
          <w:rFonts w:ascii="Arial" w:eastAsia="Times New Roman" w:hAnsi="Arial" w:cs="Arial"/>
          <w:color w:val="000000"/>
          <w:sz w:val="20"/>
          <w:szCs w:val="20"/>
        </w:rPr>
        <w:br/>
      </w:r>
    </w:p>
    <w:p w:rsidR="005E2E3F" w:rsidRDefault="005E2E3F" w:rsidP="00425656">
      <w:pPr>
        <w:pStyle w:val="ListParagraph"/>
        <w:numPr>
          <w:ilvl w:val="0"/>
          <w:numId w:val="2"/>
        </w:numPr>
        <w:spacing w:after="24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Guidance on </w:t>
      </w:r>
      <w:r w:rsidR="005B1FF5">
        <w:rPr>
          <w:rFonts w:ascii="Arial" w:eastAsia="Times New Roman" w:hAnsi="Arial" w:cs="Arial"/>
          <w:color w:val="000000"/>
          <w:sz w:val="20"/>
          <w:szCs w:val="20"/>
        </w:rPr>
        <w:t>Strategies for Achieving Target</w:t>
      </w:r>
      <w:r>
        <w:rPr>
          <w:rFonts w:ascii="Arial" w:eastAsia="Times New Roman" w:hAnsi="Arial" w:cs="Arial"/>
          <w:color w:val="000000"/>
          <w:sz w:val="20"/>
          <w:szCs w:val="20"/>
        </w:rPr>
        <w:t xml:space="preserve"> Tacrolimus </w:t>
      </w:r>
      <w:r w:rsidR="005B1FF5">
        <w:rPr>
          <w:rFonts w:ascii="Arial" w:eastAsia="Times New Roman" w:hAnsi="Arial" w:cs="Arial"/>
          <w:color w:val="000000"/>
          <w:sz w:val="20"/>
          <w:szCs w:val="20"/>
        </w:rPr>
        <w:t>Levels</w:t>
      </w:r>
    </w:p>
    <w:p w:rsidR="003720D1" w:rsidRDefault="003720D1" w:rsidP="00425656">
      <w:pPr>
        <w:pStyle w:val="ListParagraph"/>
        <w:spacing w:after="240" w:line="240" w:lineRule="auto"/>
        <w:ind w:left="1080"/>
        <w:rPr>
          <w:rFonts w:ascii="Arial" w:eastAsia="Times New Roman" w:hAnsi="Arial" w:cs="Arial"/>
          <w:color w:val="000000"/>
          <w:sz w:val="20"/>
          <w:szCs w:val="20"/>
        </w:rPr>
      </w:pPr>
    </w:p>
    <w:p w:rsidR="00EE6DBC" w:rsidRDefault="005B1FF5" w:rsidP="00425656">
      <w:pPr>
        <w:pStyle w:val="ListParagraph"/>
        <w:numPr>
          <w:ilvl w:val="1"/>
          <w:numId w:val="2"/>
        </w:numPr>
        <w:spacing w:after="24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AUC that </w:t>
      </w:r>
      <w:r w:rsidR="00BC62BB">
        <w:rPr>
          <w:rFonts w:ascii="Arial" w:eastAsia="Times New Roman" w:hAnsi="Arial" w:cs="Arial"/>
          <w:color w:val="000000"/>
          <w:sz w:val="20"/>
          <w:szCs w:val="20"/>
        </w:rPr>
        <w:t>correlates with higher trough level than the measure</w:t>
      </w:r>
      <w:r w:rsidR="00066FE5">
        <w:rPr>
          <w:rFonts w:ascii="Arial" w:eastAsia="Times New Roman" w:hAnsi="Arial" w:cs="Arial"/>
          <w:color w:val="000000"/>
          <w:sz w:val="20"/>
          <w:szCs w:val="20"/>
        </w:rPr>
        <w:t>d</w:t>
      </w:r>
      <w:r w:rsidR="00BC62BB">
        <w:rPr>
          <w:rFonts w:ascii="Arial" w:eastAsia="Times New Roman" w:hAnsi="Arial" w:cs="Arial"/>
          <w:color w:val="000000"/>
          <w:sz w:val="20"/>
          <w:szCs w:val="20"/>
        </w:rPr>
        <w:t xml:space="preserve"> trough level</w:t>
      </w:r>
    </w:p>
    <w:p w:rsidR="00EE6DBC" w:rsidRDefault="00BC62BB" w:rsidP="00425656">
      <w:pPr>
        <w:pStyle w:val="ListParagraph"/>
        <w:numPr>
          <w:ilvl w:val="2"/>
          <w:numId w:val="2"/>
        </w:numPr>
        <w:spacing w:after="240" w:line="240" w:lineRule="auto"/>
        <w:rPr>
          <w:rFonts w:ascii="Arial" w:eastAsia="Times New Roman" w:hAnsi="Arial" w:cs="Arial"/>
          <w:color w:val="000000"/>
          <w:sz w:val="20"/>
          <w:szCs w:val="20"/>
        </w:rPr>
      </w:pPr>
      <w:r>
        <w:rPr>
          <w:rFonts w:ascii="Arial" w:eastAsia="Times New Roman" w:hAnsi="Arial" w:cs="Arial"/>
          <w:color w:val="000000"/>
          <w:sz w:val="20"/>
          <w:szCs w:val="20"/>
        </w:rPr>
        <w:t>If the peak (T1-</w:t>
      </w:r>
      <w:r w:rsidR="005B1FF5">
        <w:rPr>
          <w:rFonts w:ascii="Arial" w:eastAsia="Times New Roman" w:hAnsi="Arial" w:cs="Arial"/>
          <w:color w:val="000000"/>
          <w:sz w:val="20"/>
          <w:szCs w:val="20"/>
        </w:rPr>
        <w:t>T2) and AUC are high</w:t>
      </w:r>
      <w:r>
        <w:rPr>
          <w:rFonts w:ascii="Arial" w:eastAsia="Times New Roman" w:hAnsi="Arial" w:cs="Arial"/>
          <w:color w:val="000000"/>
          <w:sz w:val="20"/>
          <w:szCs w:val="20"/>
        </w:rPr>
        <w:t xml:space="preserve">, but the </w:t>
      </w:r>
      <w:r w:rsidR="005B1FF5">
        <w:rPr>
          <w:rFonts w:ascii="Arial" w:eastAsia="Times New Roman" w:hAnsi="Arial" w:cs="Arial"/>
          <w:color w:val="000000"/>
          <w:sz w:val="20"/>
          <w:szCs w:val="20"/>
        </w:rPr>
        <w:t>measured</w:t>
      </w:r>
      <w:r>
        <w:rPr>
          <w:rFonts w:ascii="Arial" w:eastAsia="Times New Roman" w:hAnsi="Arial" w:cs="Arial"/>
          <w:color w:val="000000"/>
          <w:sz w:val="20"/>
          <w:szCs w:val="20"/>
        </w:rPr>
        <w:t xml:space="preserve"> </w:t>
      </w:r>
      <w:r w:rsidR="005B1FF5">
        <w:rPr>
          <w:rFonts w:ascii="Arial" w:eastAsia="Times New Roman" w:hAnsi="Arial" w:cs="Arial"/>
          <w:color w:val="000000"/>
          <w:sz w:val="20"/>
          <w:szCs w:val="20"/>
        </w:rPr>
        <w:t xml:space="preserve">trough is </w:t>
      </w:r>
      <w:r>
        <w:rPr>
          <w:rFonts w:ascii="Arial" w:eastAsia="Times New Roman" w:hAnsi="Arial" w:cs="Arial"/>
          <w:color w:val="000000"/>
          <w:sz w:val="20"/>
          <w:szCs w:val="20"/>
        </w:rPr>
        <w:t xml:space="preserve">lower than goal, this may indicate a “rapid metabolizer” of tacrolimus. These patients </w:t>
      </w:r>
      <w:r w:rsidR="00661C32">
        <w:rPr>
          <w:rFonts w:ascii="Arial" w:eastAsia="Times New Roman" w:hAnsi="Arial" w:cs="Arial"/>
          <w:color w:val="000000"/>
          <w:sz w:val="20"/>
          <w:szCs w:val="20"/>
        </w:rPr>
        <w:t>may</w:t>
      </w:r>
      <w:r>
        <w:rPr>
          <w:rFonts w:ascii="Arial" w:eastAsia="Times New Roman" w:hAnsi="Arial" w:cs="Arial"/>
          <w:color w:val="000000"/>
          <w:sz w:val="20"/>
          <w:szCs w:val="20"/>
        </w:rPr>
        <w:t xml:space="preserve"> benefit from inhibition of tacrolimus metabolism via a CYP inhibitor (such as ketoconazole). Please see section VI</w:t>
      </w:r>
      <w:r w:rsidR="00066FE5">
        <w:rPr>
          <w:rFonts w:ascii="Arial" w:eastAsia="Times New Roman" w:hAnsi="Arial" w:cs="Arial"/>
          <w:color w:val="000000"/>
          <w:sz w:val="20"/>
          <w:szCs w:val="20"/>
        </w:rPr>
        <w:t>I</w:t>
      </w:r>
      <w:r>
        <w:rPr>
          <w:rFonts w:ascii="Arial" w:eastAsia="Times New Roman" w:hAnsi="Arial" w:cs="Arial"/>
          <w:color w:val="000000"/>
          <w:sz w:val="20"/>
          <w:szCs w:val="20"/>
        </w:rPr>
        <w:t xml:space="preserve"> for assistance initiating an inhibitor.</w:t>
      </w:r>
    </w:p>
    <w:p w:rsidR="003720D1" w:rsidRPr="00EE6DBC" w:rsidRDefault="003720D1" w:rsidP="00425656">
      <w:pPr>
        <w:pStyle w:val="ListParagraph"/>
        <w:spacing w:after="240" w:line="240" w:lineRule="auto"/>
        <w:ind w:left="2160"/>
        <w:rPr>
          <w:rFonts w:ascii="Arial" w:eastAsia="Times New Roman" w:hAnsi="Arial" w:cs="Arial"/>
          <w:color w:val="000000"/>
          <w:sz w:val="20"/>
          <w:szCs w:val="20"/>
        </w:rPr>
      </w:pPr>
    </w:p>
    <w:p w:rsidR="005E2E3F" w:rsidRDefault="005E2E3F" w:rsidP="00425656">
      <w:pPr>
        <w:pStyle w:val="ListParagraph"/>
        <w:numPr>
          <w:ilvl w:val="1"/>
          <w:numId w:val="2"/>
        </w:numPr>
        <w:spacing w:after="24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AUC that </w:t>
      </w:r>
      <w:r w:rsidR="00EE6DBC">
        <w:rPr>
          <w:rFonts w:ascii="Arial" w:eastAsia="Times New Roman" w:hAnsi="Arial" w:cs="Arial"/>
          <w:color w:val="000000"/>
          <w:sz w:val="20"/>
          <w:szCs w:val="20"/>
        </w:rPr>
        <w:t>correlates with a trough that is lower than goal</w:t>
      </w:r>
    </w:p>
    <w:p w:rsidR="00BA4D32" w:rsidRDefault="00BA4D32" w:rsidP="00425656">
      <w:pPr>
        <w:pStyle w:val="ListParagraph"/>
        <w:numPr>
          <w:ilvl w:val="2"/>
          <w:numId w:val="2"/>
        </w:numPr>
        <w:spacing w:after="240" w:line="240" w:lineRule="auto"/>
        <w:rPr>
          <w:rFonts w:ascii="Arial" w:eastAsia="Times New Roman" w:hAnsi="Arial" w:cs="Arial"/>
          <w:color w:val="000000"/>
          <w:sz w:val="20"/>
          <w:szCs w:val="20"/>
        </w:rPr>
      </w:pPr>
      <w:r>
        <w:rPr>
          <w:rFonts w:ascii="Arial" w:eastAsia="Times New Roman" w:hAnsi="Arial" w:cs="Arial"/>
          <w:color w:val="000000"/>
          <w:sz w:val="20"/>
          <w:szCs w:val="20"/>
        </w:rPr>
        <w:t>Low drug exposure may indicate poor absorption. In some cases, taking tacrolimus on an empty stomach may help patients achieve goal troughs.</w:t>
      </w:r>
    </w:p>
    <w:p w:rsidR="00EE6DBC" w:rsidRDefault="00EE6DBC" w:rsidP="00425656">
      <w:pPr>
        <w:pStyle w:val="ListParagraph"/>
        <w:numPr>
          <w:ilvl w:val="2"/>
          <w:numId w:val="2"/>
        </w:numPr>
        <w:spacing w:after="240" w:line="240" w:lineRule="auto"/>
        <w:rPr>
          <w:rFonts w:ascii="Arial" w:eastAsia="Times New Roman" w:hAnsi="Arial" w:cs="Arial"/>
          <w:color w:val="000000"/>
          <w:sz w:val="20"/>
          <w:szCs w:val="20"/>
        </w:rPr>
      </w:pPr>
      <w:r>
        <w:rPr>
          <w:rFonts w:ascii="Arial" w:eastAsia="Times New Roman" w:hAnsi="Arial" w:cs="Arial"/>
          <w:color w:val="000000"/>
          <w:sz w:val="20"/>
          <w:szCs w:val="20"/>
        </w:rPr>
        <w:lastRenderedPageBreak/>
        <w:t>Increasing the tacrolimus dose may be warranted to achieve goal troughs depending on the how close the measured trough level and AUC are to goal</w:t>
      </w:r>
    </w:p>
    <w:p w:rsidR="00EE6DBC" w:rsidRDefault="00BA4D32" w:rsidP="00425656">
      <w:pPr>
        <w:pStyle w:val="ListParagraph"/>
        <w:spacing w:after="240" w:line="240" w:lineRule="auto"/>
        <w:ind w:left="2160"/>
        <w:rPr>
          <w:rFonts w:ascii="Arial" w:eastAsia="Times New Roman" w:hAnsi="Arial" w:cs="Arial"/>
          <w:color w:val="000000"/>
          <w:sz w:val="20"/>
          <w:szCs w:val="20"/>
        </w:rPr>
      </w:pPr>
      <w:r>
        <w:rPr>
          <w:rFonts w:ascii="Arial" w:eastAsia="Times New Roman" w:hAnsi="Arial" w:cs="Arial"/>
          <w:color w:val="000000"/>
          <w:sz w:val="20"/>
          <w:szCs w:val="20"/>
        </w:rPr>
        <w:t>The following equation may be utilized to aid in tacrolimus dose adjustments</w:t>
      </w:r>
      <w:r w:rsidR="00EE6DBC" w:rsidRPr="007D5A56">
        <w:rPr>
          <w:rFonts w:ascii="Arial" w:eastAsia="Times New Roman" w:hAnsi="Arial" w:cs="Arial"/>
          <w:color w:val="000000"/>
          <w:sz w:val="20"/>
          <w:szCs w:val="20"/>
        </w:rPr>
        <w:t>:</w:t>
      </w:r>
    </w:p>
    <w:p w:rsidR="00EE6DBC" w:rsidRDefault="00EE6DBC" w:rsidP="00425656">
      <w:pPr>
        <w:pStyle w:val="ListParagraph"/>
        <w:spacing w:after="240" w:line="240" w:lineRule="auto"/>
        <w:ind w:left="2160"/>
        <w:rPr>
          <w:rFonts w:ascii="Arial" w:eastAsia="Times New Roman" w:hAnsi="Arial" w:cs="Arial"/>
          <w:color w:val="000000"/>
          <w:sz w:val="20"/>
          <w:szCs w:val="20"/>
        </w:rPr>
      </w:pPr>
      <w:r>
        <w:rPr>
          <w:rFonts w:ascii="Arial" w:eastAsia="Times New Roman" w:hAnsi="Arial" w:cs="Arial"/>
          <w:color w:val="000000"/>
          <w:sz w:val="20"/>
          <w:szCs w:val="20"/>
        </w:rPr>
        <w:t>New Dose = Current Dose x (</w:t>
      </w:r>
      <w:proofErr w:type="spellStart"/>
      <w:r>
        <w:rPr>
          <w:rFonts w:ascii="Arial" w:eastAsia="Times New Roman" w:hAnsi="Arial" w:cs="Arial"/>
          <w:color w:val="000000"/>
          <w:sz w:val="20"/>
          <w:szCs w:val="20"/>
        </w:rPr>
        <w:t>AUC</w:t>
      </w:r>
      <w:r>
        <w:rPr>
          <w:rFonts w:ascii="Arial" w:eastAsia="Times New Roman" w:hAnsi="Arial" w:cs="Arial"/>
          <w:color w:val="000000"/>
          <w:sz w:val="20"/>
          <w:szCs w:val="20"/>
          <w:vertAlign w:val="subscript"/>
        </w:rPr>
        <w:t>target</w:t>
      </w:r>
      <w:proofErr w:type="spellEnd"/>
      <w:r>
        <w:rPr>
          <w:rFonts w:ascii="Arial" w:eastAsia="Times New Roman" w:hAnsi="Arial" w:cs="Arial"/>
          <w:color w:val="000000"/>
          <w:sz w:val="20"/>
          <w:szCs w:val="20"/>
        </w:rPr>
        <w:t>/</w:t>
      </w:r>
      <w:proofErr w:type="spellStart"/>
      <w:r>
        <w:rPr>
          <w:rFonts w:ascii="Arial" w:eastAsia="Times New Roman" w:hAnsi="Arial" w:cs="Arial"/>
          <w:color w:val="000000"/>
          <w:sz w:val="20"/>
          <w:szCs w:val="20"/>
        </w:rPr>
        <w:t>AUC</w:t>
      </w:r>
      <w:r>
        <w:rPr>
          <w:rFonts w:ascii="Arial" w:eastAsia="Times New Roman" w:hAnsi="Arial" w:cs="Arial"/>
          <w:color w:val="000000"/>
          <w:sz w:val="20"/>
          <w:szCs w:val="20"/>
          <w:vertAlign w:val="subscript"/>
        </w:rPr>
        <w:t>current</w:t>
      </w:r>
      <w:proofErr w:type="spellEnd"/>
      <w:r>
        <w:rPr>
          <w:rFonts w:ascii="Arial" w:eastAsia="Times New Roman" w:hAnsi="Arial" w:cs="Arial"/>
          <w:color w:val="000000"/>
          <w:sz w:val="20"/>
          <w:szCs w:val="20"/>
        </w:rPr>
        <w:t>)</w:t>
      </w:r>
    </w:p>
    <w:p w:rsidR="005B1FF5" w:rsidRDefault="007E160D" w:rsidP="005B1FF5">
      <w:pPr>
        <w:pStyle w:val="ListParagraph"/>
        <w:numPr>
          <w:ilvl w:val="2"/>
          <w:numId w:val="2"/>
        </w:numPr>
        <w:spacing w:after="24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Patients with very low AUCs or patients who are having side effects (such as tremors, headaches, and nausea) </w:t>
      </w:r>
      <w:r w:rsidR="00EE6DBC">
        <w:rPr>
          <w:rFonts w:ascii="Arial" w:eastAsia="Times New Roman" w:hAnsi="Arial" w:cs="Arial"/>
          <w:color w:val="000000"/>
          <w:sz w:val="20"/>
          <w:szCs w:val="20"/>
        </w:rPr>
        <w:t>may benefit from the addition of an inhibitor</w:t>
      </w:r>
      <w:r w:rsidR="005B1FF5">
        <w:rPr>
          <w:rFonts w:ascii="Arial" w:eastAsia="Times New Roman" w:hAnsi="Arial" w:cs="Arial"/>
          <w:color w:val="000000"/>
          <w:sz w:val="20"/>
          <w:szCs w:val="20"/>
        </w:rPr>
        <w:t xml:space="preserve"> if therapeutic levels cannot be achieved with dose adjustments. Please see section VI</w:t>
      </w:r>
      <w:r w:rsidR="00066FE5">
        <w:rPr>
          <w:rFonts w:ascii="Arial" w:eastAsia="Times New Roman" w:hAnsi="Arial" w:cs="Arial"/>
          <w:color w:val="000000"/>
          <w:sz w:val="20"/>
          <w:szCs w:val="20"/>
        </w:rPr>
        <w:t>I</w:t>
      </w:r>
      <w:r w:rsidR="005B1FF5">
        <w:rPr>
          <w:rFonts w:ascii="Arial" w:eastAsia="Times New Roman" w:hAnsi="Arial" w:cs="Arial"/>
          <w:color w:val="000000"/>
          <w:sz w:val="20"/>
          <w:szCs w:val="20"/>
        </w:rPr>
        <w:t xml:space="preserve"> for assistance initiating an inhibitor.</w:t>
      </w:r>
    </w:p>
    <w:p w:rsidR="005B1FF5" w:rsidRPr="00EE6DBC" w:rsidRDefault="005B1FF5" w:rsidP="00425656">
      <w:pPr>
        <w:pStyle w:val="ListParagraph"/>
        <w:spacing w:after="240" w:line="240" w:lineRule="auto"/>
        <w:ind w:left="2160"/>
        <w:rPr>
          <w:rFonts w:ascii="Arial" w:eastAsia="Times New Roman" w:hAnsi="Arial" w:cs="Arial"/>
          <w:color w:val="000000"/>
          <w:sz w:val="20"/>
          <w:szCs w:val="20"/>
        </w:rPr>
      </w:pPr>
    </w:p>
    <w:p w:rsidR="005B1FF5" w:rsidRPr="00066FE5" w:rsidRDefault="005B1FF5" w:rsidP="00425656">
      <w:pPr>
        <w:pStyle w:val="ListParagraph"/>
        <w:numPr>
          <w:ilvl w:val="0"/>
          <w:numId w:val="2"/>
        </w:numPr>
        <w:spacing w:after="240" w:line="240" w:lineRule="auto"/>
        <w:rPr>
          <w:rFonts w:ascii="Arial" w:eastAsia="Times New Roman" w:hAnsi="Arial" w:cs="Arial"/>
          <w:color w:val="000000"/>
          <w:sz w:val="20"/>
          <w:szCs w:val="20"/>
        </w:rPr>
      </w:pPr>
      <w:r w:rsidRPr="00066FE5">
        <w:rPr>
          <w:rFonts w:ascii="Arial" w:eastAsia="Times New Roman" w:hAnsi="Arial" w:cs="Arial"/>
          <w:color w:val="000000"/>
          <w:sz w:val="20"/>
          <w:szCs w:val="20"/>
        </w:rPr>
        <w:t>Inhibitor Initiation</w:t>
      </w:r>
      <w:r w:rsidR="00661C32">
        <w:rPr>
          <w:rFonts w:ascii="Arial" w:eastAsia="Times New Roman" w:hAnsi="Arial" w:cs="Arial"/>
          <w:color w:val="000000"/>
          <w:sz w:val="20"/>
          <w:szCs w:val="20"/>
        </w:rPr>
        <w:t xml:space="preserve"> </w:t>
      </w:r>
    </w:p>
    <w:p w:rsidR="00414082" w:rsidRPr="00425656" w:rsidRDefault="005B1FF5" w:rsidP="00425656">
      <w:pPr>
        <w:pStyle w:val="ListParagraph"/>
        <w:spacing w:after="240" w:line="240" w:lineRule="auto"/>
        <w:ind w:left="1080"/>
        <w:rPr>
          <w:rFonts w:ascii="Arial" w:hAnsi="Arial" w:cs="Arial"/>
          <w:color w:val="000000" w:themeColor="text1"/>
          <w:sz w:val="20"/>
          <w:szCs w:val="20"/>
        </w:rPr>
      </w:pPr>
      <w:r w:rsidRPr="00425656">
        <w:rPr>
          <w:rFonts w:ascii="Arial" w:hAnsi="Arial" w:cs="Arial"/>
          <w:color w:val="000000" w:themeColor="text1"/>
          <w:sz w:val="20"/>
          <w:szCs w:val="20"/>
        </w:rPr>
        <w:t>If target tacrolimus trough levels are not achieved with dose adjustments after obtaining an AUC, an inhibitor such as ketoconazole may be considered to boost tacrolimus levels.</w:t>
      </w:r>
      <w:r w:rsidR="00066FE5" w:rsidRPr="00425656">
        <w:rPr>
          <w:rFonts w:ascii="Arial" w:hAnsi="Arial" w:cs="Arial"/>
          <w:color w:val="000000" w:themeColor="text1"/>
          <w:sz w:val="20"/>
          <w:szCs w:val="20"/>
        </w:rPr>
        <w:t xml:space="preserve"> Ketoconazole prevents the metabolism of tacrolimus by inhibiting the enzyme cytochrome P 450 3A4 which plays a major role in metabolism.</w:t>
      </w:r>
      <w:r w:rsidRPr="00425656">
        <w:rPr>
          <w:rFonts w:ascii="Arial" w:hAnsi="Arial" w:cs="Arial"/>
          <w:color w:val="000000" w:themeColor="text1"/>
          <w:sz w:val="20"/>
          <w:szCs w:val="20"/>
        </w:rPr>
        <w:t xml:space="preserve"> </w:t>
      </w:r>
    </w:p>
    <w:p w:rsidR="00414082" w:rsidRPr="00425656" w:rsidRDefault="00414082" w:rsidP="00425656">
      <w:pPr>
        <w:pStyle w:val="ListParagraph"/>
        <w:spacing w:after="240" w:line="240" w:lineRule="auto"/>
        <w:ind w:left="1080"/>
        <w:rPr>
          <w:rFonts w:ascii="Arial" w:hAnsi="Arial" w:cs="Arial"/>
          <w:color w:val="000000" w:themeColor="text1"/>
          <w:sz w:val="20"/>
          <w:szCs w:val="20"/>
        </w:rPr>
      </w:pPr>
    </w:p>
    <w:p w:rsidR="00414082" w:rsidRPr="004C2D8F" w:rsidRDefault="00414082" w:rsidP="004C2D8F">
      <w:pPr>
        <w:pStyle w:val="ListParagraph"/>
        <w:numPr>
          <w:ilvl w:val="0"/>
          <w:numId w:val="6"/>
        </w:numPr>
        <w:spacing w:after="240" w:line="240" w:lineRule="auto"/>
        <w:rPr>
          <w:rFonts w:ascii="Arial" w:eastAsia="Times New Roman" w:hAnsi="Arial" w:cs="Arial"/>
          <w:color w:val="000000" w:themeColor="text1"/>
          <w:sz w:val="20"/>
          <w:szCs w:val="20"/>
        </w:rPr>
      </w:pPr>
      <w:r w:rsidRPr="004C2D8F">
        <w:rPr>
          <w:rFonts w:ascii="Arial" w:hAnsi="Arial" w:cs="Arial"/>
          <w:color w:val="000000" w:themeColor="text1"/>
          <w:sz w:val="20"/>
          <w:szCs w:val="20"/>
        </w:rPr>
        <w:t>Initiate ketoconazole 100 mg PO daily</w:t>
      </w:r>
    </w:p>
    <w:p w:rsidR="00414082" w:rsidRPr="004C2D8F" w:rsidRDefault="00414082" w:rsidP="004C2D8F">
      <w:pPr>
        <w:pStyle w:val="ListParagraph"/>
        <w:numPr>
          <w:ilvl w:val="0"/>
          <w:numId w:val="6"/>
        </w:numPr>
        <w:spacing w:after="240" w:line="240" w:lineRule="auto"/>
        <w:rPr>
          <w:rFonts w:ascii="Arial" w:eastAsia="Times New Roman" w:hAnsi="Arial" w:cs="Arial"/>
          <w:color w:val="000000" w:themeColor="text1"/>
          <w:sz w:val="20"/>
          <w:szCs w:val="20"/>
        </w:rPr>
      </w:pPr>
      <w:r w:rsidRPr="004C2D8F">
        <w:rPr>
          <w:rFonts w:ascii="Arial" w:hAnsi="Arial" w:cs="Arial"/>
          <w:color w:val="000000" w:themeColor="text1"/>
          <w:sz w:val="20"/>
          <w:szCs w:val="20"/>
        </w:rPr>
        <w:t xml:space="preserve">Consider reducing tacrolimus dose based on </w:t>
      </w:r>
      <w:r w:rsidR="005B1FF5" w:rsidRPr="004C2D8F">
        <w:rPr>
          <w:rFonts w:ascii="Arial" w:hAnsi="Arial" w:cs="Arial"/>
          <w:color w:val="000000" w:themeColor="text1"/>
          <w:sz w:val="20"/>
          <w:szCs w:val="20"/>
        </w:rPr>
        <w:t>current trou</w:t>
      </w:r>
      <w:r w:rsidR="003720D1" w:rsidRPr="004C2D8F">
        <w:rPr>
          <w:rFonts w:ascii="Arial" w:hAnsi="Arial" w:cs="Arial"/>
          <w:color w:val="000000" w:themeColor="text1"/>
          <w:sz w:val="20"/>
          <w:szCs w:val="20"/>
        </w:rPr>
        <w:t>gh level and goal trough level</w:t>
      </w:r>
    </w:p>
    <w:p w:rsidR="004C2D8F" w:rsidRPr="004C2D8F" w:rsidRDefault="005B1FF5" w:rsidP="00446E30">
      <w:pPr>
        <w:pStyle w:val="ListParagraph"/>
        <w:numPr>
          <w:ilvl w:val="1"/>
          <w:numId w:val="6"/>
        </w:numPr>
        <w:spacing w:after="240" w:line="240" w:lineRule="auto"/>
        <w:rPr>
          <w:rFonts w:ascii="Arial" w:eastAsia="Times New Roman" w:hAnsi="Arial" w:cs="Arial"/>
          <w:color w:val="000000"/>
          <w:sz w:val="20"/>
          <w:szCs w:val="20"/>
        </w:rPr>
      </w:pPr>
      <w:r w:rsidRPr="004C2D8F">
        <w:rPr>
          <w:rFonts w:ascii="Arial" w:hAnsi="Arial" w:cs="Arial"/>
          <w:color w:val="000000" w:themeColor="text1"/>
          <w:sz w:val="20"/>
          <w:szCs w:val="20"/>
        </w:rPr>
        <w:lastRenderedPageBreak/>
        <w:t xml:space="preserve">Typically, the use of ketoconazole results in a decrease of tacrolimus dose of about 50% to achieve the same level, however, this does not hold true in all patients. </w:t>
      </w:r>
      <w:r w:rsidR="00066FE5" w:rsidRPr="004C2D8F">
        <w:rPr>
          <w:rFonts w:ascii="Arial" w:hAnsi="Arial" w:cs="Arial"/>
          <w:color w:val="000000" w:themeColor="text1"/>
          <w:sz w:val="20"/>
          <w:szCs w:val="20"/>
        </w:rPr>
        <w:t xml:space="preserve">Because patients contain different levels of CYP 3A4 the effect of adding an inhibitor can be variable. </w:t>
      </w:r>
    </w:p>
    <w:p w:rsidR="005B1FF5" w:rsidRPr="004C2D8F" w:rsidRDefault="00414082" w:rsidP="004C2D8F">
      <w:pPr>
        <w:pStyle w:val="ListParagraph"/>
        <w:numPr>
          <w:ilvl w:val="0"/>
          <w:numId w:val="6"/>
        </w:numPr>
        <w:spacing w:after="240" w:line="240" w:lineRule="auto"/>
        <w:rPr>
          <w:rFonts w:ascii="Arial" w:eastAsia="Times New Roman" w:hAnsi="Arial" w:cs="Arial"/>
          <w:color w:val="000000"/>
          <w:sz w:val="20"/>
          <w:szCs w:val="20"/>
        </w:rPr>
      </w:pPr>
      <w:r w:rsidRPr="004C2D8F">
        <w:rPr>
          <w:rFonts w:ascii="Arial" w:eastAsia="Times New Roman" w:hAnsi="Arial" w:cs="Arial"/>
          <w:color w:val="000000"/>
          <w:sz w:val="20"/>
          <w:szCs w:val="20"/>
        </w:rPr>
        <w:t xml:space="preserve">Monitor troughs closely. </w:t>
      </w:r>
      <w:r w:rsidR="00A02BE4" w:rsidRPr="004C2D8F">
        <w:rPr>
          <w:rFonts w:ascii="Arial" w:eastAsia="Times New Roman" w:hAnsi="Arial" w:cs="Arial"/>
          <w:color w:val="000000"/>
          <w:sz w:val="20"/>
          <w:szCs w:val="20"/>
        </w:rPr>
        <w:t>Check</w:t>
      </w:r>
      <w:r w:rsidRPr="004C2D8F">
        <w:rPr>
          <w:rFonts w:ascii="Arial" w:eastAsia="Times New Roman" w:hAnsi="Arial" w:cs="Arial"/>
          <w:color w:val="000000"/>
          <w:sz w:val="20"/>
          <w:szCs w:val="20"/>
        </w:rPr>
        <w:t xml:space="preserve"> </w:t>
      </w:r>
      <w:r w:rsidR="003720D1" w:rsidRPr="004C2D8F">
        <w:rPr>
          <w:rFonts w:ascii="Arial" w:eastAsia="Times New Roman" w:hAnsi="Arial" w:cs="Arial"/>
          <w:color w:val="000000"/>
          <w:sz w:val="20"/>
          <w:szCs w:val="20"/>
        </w:rPr>
        <w:t xml:space="preserve">a </w:t>
      </w:r>
      <w:r w:rsidR="00A02BE4" w:rsidRPr="004C2D8F">
        <w:rPr>
          <w:rFonts w:ascii="Arial" w:eastAsia="Times New Roman" w:hAnsi="Arial" w:cs="Arial"/>
          <w:color w:val="000000"/>
          <w:sz w:val="20"/>
          <w:szCs w:val="20"/>
        </w:rPr>
        <w:t xml:space="preserve">tacrolimus </w:t>
      </w:r>
      <w:r w:rsidR="003720D1" w:rsidRPr="004C2D8F">
        <w:rPr>
          <w:rFonts w:ascii="Arial" w:eastAsia="Times New Roman" w:hAnsi="Arial" w:cs="Arial"/>
          <w:color w:val="000000"/>
          <w:sz w:val="20"/>
          <w:szCs w:val="20"/>
        </w:rPr>
        <w:t xml:space="preserve">trough </w:t>
      </w:r>
      <w:r w:rsidR="00A02BE4" w:rsidRPr="004C2D8F">
        <w:rPr>
          <w:rFonts w:ascii="Arial" w:eastAsia="Times New Roman" w:hAnsi="Arial" w:cs="Arial"/>
          <w:color w:val="000000"/>
          <w:sz w:val="20"/>
          <w:szCs w:val="20"/>
        </w:rPr>
        <w:t>within one week.</w:t>
      </w:r>
    </w:p>
    <w:p w:rsidR="007D6887" w:rsidRPr="007D6887" w:rsidRDefault="007D6887" w:rsidP="007D6887">
      <w:pPr>
        <w:spacing w:before="100" w:beforeAutospacing="1" w:after="100" w:afterAutospacing="1" w:line="240" w:lineRule="auto"/>
        <w:rPr>
          <w:rFonts w:ascii="Arial" w:eastAsia="Times New Roman" w:hAnsi="Arial" w:cs="Arial"/>
          <w:color w:val="000000"/>
          <w:sz w:val="20"/>
          <w:szCs w:val="20"/>
        </w:rPr>
      </w:pPr>
      <w:r w:rsidRPr="007D6887">
        <w:rPr>
          <w:rFonts w:ascii="Arial" w:eastAsia="Times New Roman" w:hAnsi="Arial" w:cs="Arial"/>
          <w:b/>
          <w:bCs/>
          <w:color w:val="000080"/>
          <w:sz w:val="20"/>
          <w:szCs w:val="20"/>
        </w:rPr>
        <w:t>References:</w:t>
      </w:r>
      <w:r w:rsidRPr="007D6887">
        <w:rPr>
          <w:rFonts w:ascii="Arial" w:eastAsia="Times New Roman" w:hAnsi="Arial" w:cs="Arial"/>
          <w:color w:val="000000"/>
          <w:sz w:val="20"/>
          <w:szCs w:val="20"/>
        </w:rPr>
        <w:t xml:space="preserve"> </w:t>
      </w:r>
      <w:r w:rsidRPr="007D6887">
        <w:rPr>
          <w:rFonts w:ascii="Arial" w:eastAsia="Times New Roman" w:hAnsi="Arial" w:cs="Arial"/>
          <w:noProof/>
          <w:color w:val="0000FF"/>
          <w:sz w:val="20"/>
          <w:szCs w:val="20"/>
        </w:rPr>
        <w:drawing>
          <wp:inline distT="0" distB="0" distL="0" distR="0">
            <wp:extent cx="1802765" cy="448310"/>
            <wp:effectExtent l="0" t="0" r="6985" b="8890"/>
            <wp:docPr id="4" name="Picture 4" descr="Hardinger-tac aucqd Kirk 10 21 09.pdf">
              <a:hlinkClick xmlns:a="http://schemas.openxmlformats.org/drawingml/2006/main" r:id="rId5" tooltip="&quot;Hardinger-tac aucqd Kirk 10 21 09.pd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dinger-tac aucqd Kirk 10 21 09.pdf">
                      <a:hlinkClick r:id="rId5" tooltip="&quot;Hardinger-tac aucqd Kirk 10 21 09.pdf&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2765" cy="448310"/>
                    </a:xfrm>
                    <a:prstGeom prst="rect">
                      <a:avLst/>
                    </a:prstGeom>
                    <a:noFill/>
                    <a:ln>
                      <a:noFill/>
                    </a:ln>
                  </pic:spPr>
                </pic:pic>
              </a:graphicData>
            </a:graphic>
          </wp:inline>
        </w:drawing>
      </w:r>
      <w:r w:rsidRPr="007D6887">
        <w:rPr>
          <w:rFonts w:ascii="Arial" w:eastAsia="Times New Roman" w:hAnsi="Arial" w:cs="Arial"/>
          <w:noProof/>
          <w:color w:val="0000FF"/>
          <w:sz w:val="20"/>
          <w:szCs w:val="20"/>
        </w:rPr>
        <w:drawing>
          <wp:inline distT="0" distB="0" distL="0" distR="0">
            <wp:extent cx="2682875" cy="448310"/>
            <wp:effectExtent l="0" t="0" r="3175" b="8890"/>
            <wp:docPr id="3" name="Picture 3" descr="Armenda limited_sampling-tacAUC_adult Kirk 10 21 09.pdf">
              <a:hlinkClick xmlns:a="http://schemas.openxmlformats.org/drawingml/2006/main" r:id="rId7" tooltip="&quot;Armenda limited_sampling-tacAUC_adult Kirk 10 21 09.pd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rmenda limited_sampling-tacAUC_adult Kirk 10 21 09.pdf">
                      <a:hlinkClick r:id="rId7" tooltip="&quot;Armenda limited_sampling-tacAUC_adult Kirk 10 21 09.pdf&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82875" cy="448310"/>
                    </a:xfrm>
                    <a:prstGeom prst="rect">
                      <a:avLst/>
                    </a:prstGeom>
                    <a:noFill/>
                    <a:ln>
                      <a:noFill/>
                    </a:ln>
                  </pic:spPr>
                </pic:pic>
              </a:graphicData>
            </a:graphic>
          </wp:inline>
        </w:drawing>
      </w:r>
      <w:r w:rsidRPr="007D6887">
        <w:rPr>
          <w:rFonts w:ascii="Arial" w:eastAsia="Times New Roman" w:hAnsi="Arial" w:cs="Arial"/>
          <w:noProof/>
          <w:color w:val="0000FF"/>
          <w:sz w:val="20"/>
          <w:szCs w:val="20"/>
        </w:rPr>
        <w:drawing>
          <wp:inline distT="0" distB="0" distL="0" distR="0">
            <wp:extent cx="1561465" cy="448310"/>
            <wp:effectExtent l="0" t="0" r="635" b="8890"/>
            <wp:docPr id="2" name="Picture 2" descr="Filler-peds AUC Kirk 10 21 09.pdf">
              <a:hlinkClick xmlns:a="http://schemas.openxmlformats.org/drawingml/2006/main" r:id="rId9" tooltip="&quot;Filler-peds AUC Kirk 10 21 09.pd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ller-peds AUC Kirk 10 21 09.pdf">
                      <a:hlinkClick r:id="rId9" tooltip="&quot;Filler-peds AUC Kirk 10 21 09.pdf&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1465" cy="448310"/>
                    </a:xfrm>
                    <a:prstGeom prst="rect">
                      <a:avLst/>
                    </a:prstGeom>
                    <a:noFill/>
                    <a:ln>
                      <a:noFill/>
                    </a:ln>
                  </pic:spPr>
                </pic:pic>
              </a:graphicData>
            </a:graphic>
          </wp:inline>
        </w:drawing>
      </w:r>
    </w:p>
    <w:p w:rsidR="007D6887" w:rsidRPr="007D6887" w:rsidRDefault="007D6887" w:rsidP="007D6887">
      <w:pPr>
        <w:spacing w:before="100" w:beforeAutospacing="1" w:after="100" w:afterAutospacing="1" w:line="240" w:lineRule="auto"/>
        <w:rPr>
          <w:rFonts w:ascii="Arial" w:eastAsia="Times New Roman" w:hAnsi="Arial" w:cs="Arial"/>
          <w:color w:val="000000"/>
          <w:sz w:val="20"/>
          <w:szCs w:val="20"/>
        </w:rPr>
      </w:pPr>
      <w:r w:rsidRPr="007D6887">
        <w:rPr>
          <w:rFonts w:ascii="Arial" w:eastAsia="Times New Roman" w:hAnsi="Arial" w:cs="Arial"/>
          <w:color w:val="000000"/>
          <w:sz w:val="20"/>
          <w:szCs w:val="20"/>
        </w:rPr>
        <w:t xml:space="preserve">Approved by: Renal (Pancreas) Transplant Leadership Group </w:t>
      </w:r>
      <w:r w:rsidRPr="007D6887">
        <w:rPr>
          <w:rFonts w:ascii="Arial" w:eastAsia="Times New Roman" w:hAnsi="Arial" w:cs="Arial"/>
          <w:color w:val="000000"/>
          <w:sz w:val="20"/>
          <w:szCs w:val="20"/>
        </w:rPr>
        <w:br/>
      </w:r>
      <w:r w:rsidRPr="007D6887">
        <w:rPr>
          <w:rFonts w:ascii="Arial" w:eastAsia="Times New Roman" w:hAnsi="Arial" w:cs="Arial"/>
          <w:color w:val="000000"/>
          <w:sz w:val="20"/>
          <w:szCs w:val="20"/>
        </w:rPr>
        <w:br/>
        <w:t>___</w:t>
      </w:r>
      <w:r w:rsidRPr="007D6887">
        <w:rPr>
          <w:rFonts w:ascii="Arial" w:eastAsia="Times New Roman" w:hAnsi="Arial" w:cs="Arial"/>
          <w:color w:val="000000"/>
          <w:sz w:val="20"/>
          <w:szCs w:val="20"/>
          <w:u w:val="single"/>
        </w:rPr>
        <w:t>Signature on File</w:t>
      </w:r>
      <w:r w:rsidRPr="007D6887">
        <w:rPr>
          <w:rFonts w:ascii="Arial" w:eastAsia="Times New Roman" w:hAnsi="Arial" w:cs="Arial"/>
          <w:color w:val="000000"/>
          <w:sz w:val="20"/>
          <w:szCs w:val="20"/>
        </w:rPr>
        <w:t>_________________</w:t>
      </w:r>
      <w:r w:rsidRPr="007D6887">
        <w:rPr>
          <w:rFonts w:ascii="Arial" w:eastAsia="Times New Roman" w:hAnsi="Arial" w:cs="Arial"/>
          <w:color w:val="000000"/>
          <w:sz w:val="20"/>
          <w:szCs w:val="20"/>
        </w:rPr>
        <w:br/>
        <w:t>Thomas C. Pearson, MD, DPhil</w:t>
      </w:r>
      <w:r w:rsidRPr="007D6887">
        <w:rPr>
          <w:rFonts w:ascii="Arial" w:eastAsia="Times New Roman" w:hAnsi="Arial" w:cs="Arial"/>
          <w:color w:val="000000"/>
          <w:sz w:val="20"/>
          <w:szCs w:val="20"/>
        </w:rPr>
        <w:br/>
        <w:t>Chair, Renal Transplant Leadership Group</w:t>
      </w:r>
      <w:r w:rsidRPr="007D6887">
        <w:rPr>
          <w:rFonts w:ascii="Arial" w:eastAsia="Times New Roman" w:hAnsi="Arial" w:cs="Arial"/>
          <w:color w:val="000000"/>
          <w:sz w:val="20"/>
          <w:szCs w:val="20"/>
        </w:rPr>
        <w:br/>
        <w:t>Director, Renal and Pancreas Transplant Programs</w:t>
      </w:r>
      <w:r w:rsidRPr="007D6887">
        <w:rPr>
          <w:rFonts w:ascii="Arial" w:eastAsia="Times New Roman" w:hAnsi="Arial" w:cs="Arial"/>
          <w:color w:val="000000"/>
          <w:sz w:val="20"/>
          <w:szCs w:val="20"/>
        </w:rPr>
        <w:br/>
      </w:r>
      <w:r w:rsidRPr="007D6887">
        <w:rPr>
          <w:rFonts w:ascii="Arial" w:eastAsia="Times New Roman" w:hAnsi="Arial" w:cs="Arial"/>
          <w:color w:val="000000"/>
          <w:sz w:val="20"/>
          <w:szCs w:val="20"/>
        </w:rPr>
        <w:br/>
        <w:t xml:space="preserve">Approval: 12/02/2009 </w:t>
      </w:r>
    </w:p>
    <w:tbl>
      <w:tblPr>
        <w:tblW w:w="12600" w:type="dxa"/>
        <w:tblCellSpacing w:w="0" w:type="dxa"/>
        <w:tblCellMar>
          <w:left w:w="0" w:type="dxa"/>
          <w:right w:w="0" w:type="dxa"/>
        </w:tblCellMar>
        <w:tblLook w:val="04A0" w:firstRow="1" w:lastRow="0" w:firstColumn="1" w:lastColumn="0" w:noHBand="0" w:noVBand="1"/>
      </w:tblPr>
      <w:tblGrid>
        <w:gridCol w:w="8190"/>
        <w:gridCol w:w="4410"/>
      </w:tblGrid>
      <w:tr w:rsidR="007D6887" w:rsidRPr="007D6887" w:rsidTr="00425656">
        <w:trPr>
          <w:tblCellSpacing w:w="0" w:type="dxa"/>
        </w:trPr>
        <w:tc>
          <w:tcPr>
            <w:tcW w:w="8190" w:type="dxa"/>
            <w:shd w:val="clear" w:color="auto" w:fill="FFFFFF"/>
            <w:hideMark/>
          </w:tcPr>
          <w:p w:rsidR="007D6887" w:rsidRDefault="007D6887" w:rsidP="007D6887">
            <w:pPr>
              <w:spacing w:after="0" w:line="240" w:lineRule="auto"/>
              <w:rPr>
                <w:rFonts w:ascii="Arial" w:eastAsia="Times New Roman" w:hAnsi="Arial" w:cs="Arial"/>
                <w:b/>
                <w:bCs/>
                <w:color w:val="000000"/>
                <w:sz w:val="20"/>
                <w:szCs w:val="20"/>
              </w:rPr>
            </w:pPr>
            <w:r w:rsidRPr="007D6887">
              <w:rPr>
                <w:rFonts w:ascii="Arial" w:eastAsia="Times New Roman" w:hAnsi="Arial" w:cs="Arial"/>
                <w:b/>
                <w:bCs/>
                <w:color w:val="000000"/>
                <w:sz w:val="20"/>
                <w:szCs w:val="20"/>
              </w:rPr>
              <w:t>Regulatory References:</w:t>
            </w:r>
          </w:p>
          <w:p w:rsidR="00B8469D" w:rsidRDefault="00B8469D" w:rsidP="00425656">
            <w:pPr>
              <w:pStyle w:val="ListParagraph"/>
              <w:numPr>
                <w:ilvl w:val="0"/>
                <w:numId w:val="5"/>
              </w:numPr>
              <w:spacing w:after="0" w:line="240" w:lineRule="auto"/>
              <w:rPr>
                <w:rFonts w:ascii="Arial" w:eastAsia="Times New Roman" w:hAnsi="Arial" w:cs="Arial"/>
                <w:bCs/>
                <w:color w:val="000000"/>
                <w:sz w:val="18"/>
                <w:szCs w:val="18"/>
              </w:rPr>
            </w:pPr>
            <w:proofErr w:type="spellStart"/>
            <w:r w:rsidRPr="00425656">
              <w:rPr>
                <w:rFonts w:ascii="Arial" w:eastAsia="Times New Roman" w:hAnsi="Arial" w:cs="Arial"/>
                <w:bCs/>
                <w:color w:val="000000"/>
                <w:sz w:val="18"/>
                <w:szCs w:val="18"/>
              </w:rPr>
              <w:t>Scholten</w:t>
            </w:r>
            <w:proofErr w:type="spellEnd"/>
            <w:r w:rsidRPr="00425656">
              <w:rPr>
                <w:rFonts w:ascii="Arial" w:eastAsia="Times New Roman" w:hAnsi="Arial" w:cs="Arial"/>
                <w:bCs/>
                <w:color w:val="000000"/>
                <w:sz w:val="18"/>
                <w:szCs w:val="18"/>
              </w:rPr>
              <w:t xml:space="preserve"> E et al. </w:t>
            </w:r>
            <w:r>
              <w:rPr>
                <w:rFonts w:ascii="Arial" w:eastAsia="Times New Roman" w:hAnsi="Arial" w:cs="Arial"/>
                <w:bCs/>
                <w:color w:val="000000"/>
                <w:sz w:val="18"/>
                <w:szCs w:val="18"/>
              </w:rPr>
              <w:t>AUC-guided dosing of tacrolimus prevents progressive systemic overexposure in renal transplant recipient. Kidney International 2005;67:2440-2447.</w:t>
            </w:r>
          </w:p>
          <w:p w:rsidR="00B8469D" w:rsidRDefault="00B8469D" w:rsidP="00425656">
            <w:pPr>
              <w:pStyle w:val="ListParagraph"/>
              <w:numPr>
                <w:ilvl w:val="0"/>
                <w:numId w:val="5"/>
              </w:numPr>
              <w:spacing w:after="0" w:line="240" w:lineRule="auto"/>
              <w:rPr>
                <w:rFonts w:ascii="Arial" w:eastAsia="Times New Roman" w:hAnsi="Arial" w:cs="Arial"/>
                <w:bCs/>
                <w:color w:val="000000"/>
                <w:sz w:val="18"/>
                <w:szCs w:val="18"/>
              </w:rPr>
            </w:pPr>
            <w:proofErr w:type="spellStart"/>
            <w:r>
              <w:rPr>
                <w:rFonts w:ascii="Arial" w:eastAsia="Times New Roman" w:hAnsi="Arial" w:cs="Arial"/>
                <w:bCs/>
                <w:color w:val="000000"/>
                <w:sz w:val="18"/>
                <w:szCs w:val="18"/>
              </w:rPr>
              <w:t>Gais</w:t>
            </w:r>
            <w:proofErr w:type="spellEnd"/>
            <w:r>
              <w:rPr>
                <w:rFonts w:ascii="Arial" w:eastAsia="Times New Roman" w:hAnsi="Arial" w:cs="Arial"/>
                <w:bCs/>
                <w:color w:val="000000"/>
                <w:sz w:val="18"/>
                <w:szCs w:val="18"/>
              </w:rPr>
              <w:t xml:space="preserve"> E et al. Tacrolimus population pharmacokinetics and Bayesian estimation in Tunisian renal transplant recipients. International Journal of Pharmacy and Pharmaceutical Sciences 2013;5:108-115.</w:t>
            </w:r>
          </w:p>
          <w:p w:rsidR="00B8469D" w:rsidRPr="00425656" w:rsidRDefault="00B8469D" w:rsidP="00425656">
            <w:pPr>
              <w:pStyle w:val="ListParagraph"/>
              <w:numPr>
                <w:ilvl w:val="0"/>
                <w:numId w:val="5"/>
              </w:numPr>
              <w:spacing w:after="0" w:line="240" w:lineRule="auto"/>
              <w:rPr>
                <w:rFonts w:ascii="Arial" w:eastAsia="Times New Roman" w:hAnsi="Arial" w:cs="Arial"/>
                <w:bCs/>
                <w:color w:val="000000"/>
                <w:sz w:val="18"/>
                <w:szCs w:val="18"/>
              </w:rPr>
            </w:pPr>
            <w:r>
              <w:rPr>
                <w:rFonts w:ascii="Arial" w:eastAsia="Times New Roman" w:hAnsi="Arial" w:cs="Arial"/>
                <w:bCs/>
                <w:color w:val="000000"/>
                <w:sz w:val="18"/>
                <w:szCs w:val="18"/>
              </w:rPr>
              <w:t>Wong K et al. Abbreviated tacrolimus area-under-the-curve monitoring for renal transplant recipients. American Journal of Kidney Disease 1999;35:660-666.</w:t>
            </w:r>
          </w:p>
          <w:p w:rsidR="00B8469D" w:rsidRPr="00425656" w:rsidRDefault="00B8469D" w:rsidP="00B8469D">
            <w:pPr>
              <w:spacing w:after="0" w:line="240" w:lineRule="auto"/>
              <w:rPr>
                <w:rFonts w:ascii="Arial" w:eastAsia="Times New Roman" w:hAnsi="Arial" w:cs="Arial"/>
                <w:color w:val="000000"/>
                <w:sz w:val="20"/>
                <w:szCs w:val="20"/>
              </w:rPr>
            </w:pPr>
          </w:p>
        </w:tc>
        <w:tc>
          <w:tcPr>
            <w:tcW w:w="4410" w:type="dxa"/>
            <w:shd w:val="clear" w:color="auto" w:fill="FFFFFF"/>
            <w:hideMark/>
          </w:tcPr>
          <w:p w:rsidR="007D6887" w:rsidRPr="007D6887" w:rsidRDefault="007D6887" w:rsidP="007D6887">
            <w:pPr>
              <w:spacing w:after="0" w:line="240" w:lineRule="auto"/>
              <w:rPr>
                <w:rFonts w:ascii="Arial" w:eastAsia="Times New Roman" w:hAnsi="Arial" w:cs="Arial"/>
                <w:color w:val="000000"/>
                <w:sz w:val="20"/>
                <w:szCs w:val="20"/>
              </w:rPr>
            </w:pPr>
            <w:r w:rsidRPr="007D6887">
              <w:rPr>
                <w:rFonts w:ascii="Arial" w:eastAsia="Times New Roman" w:hAnsi="Arial" w:cs="Arial"/>
                <w:noProof/>
                <w:color w:val="000000"/>
                <w:sz w:val="20"/>
                <w:szCs w:val="20"/>
              </w:rPr>
              <w:drawing>
                <wp:inline distT="0" distB="0" distL="0" distR="0">
                  <wp:extent cx="8890" cy="8890"/>
                  <wp:effectExtent l="0" t="0" r="0" b="0"/>
                  <wp:docPr id="1" name="Picture 1" descr="http://euhnotes.eushc.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euhnotes.eushc.org/icons/ecblank.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c>
      </w:tr>
    </w:tbl>
    <w:p w:rsidR="007D6887" w:rsidRPr="007D6887" w:rsidRDefault="007D6887" w:rsidP="007D6887">
      <w:pPr>
        <w:spacing w:before="100" w:beforeAutospacing="1" w:after="100" w:afterAutospacing="1" w:line="240" w:lineRule="auto"/>
        <w:rPr>
          <w:rFonts w:ascii="Arial" w:eastAsia="Times New Roman" w:hAnsi="Arial" w:cs="Arial"/>
          <w:color w:val="000000"/>
          <w:sz w:val="20"/>
          <w:szCs w:val="20"/>
        </w:rPr>
      </w:pPr>
      <w:r w:rsidRPr="007D6887">
        <w:rPr>
          <w:rFonts w:ascii="Arial" w:eastAsia="Times New Roman" w:hAnsi="Arial" w:cs="Arial"/>
          <w:b/>
          <w:bCs/>
          <w:color w:val="000000"/>
          <w:sz w:val="20"/>
          <w:szCs w:val="20"/>
        </w:rPr>
        <w:t>Related Policies/Procedures:</w:t>
      </w:r>
      <w:r w:rsidRPr="007D6887">
        <w:rPr>
          <w:rFonts w:ascii="Arial" w:eastAsia="Times New Roman" w:hAnsi="Arial" w:cs="Arial"/>
          <w:b/>
          <w:bCs/>
          <w:color w:val="000080"/>
          <w:sz w:val="20"/>
          <w:szCs w:val="20"/>
        </w:rPr>
        <w:t xml:space="preserve"> </w:t>
      </w:r>
      <w:r w:rsidRPr="007D6887">
        <w:rPr>
          <w:rFonts w:ascii="Arial" w:eastAsia="Times New Roman" w:hAnsi="Arial" w:cs="Arial"/>
          <w:color w:val="000000"/>
          <w:sz w:val="20"/>
          <w:szCs w:val="20"/>
        </w:rPr>
        <w:br/>
      </w:r>
      <w:r w:rsidRPr="007D6887">
        <w:rPr>
          <w:rFonts w:ascii="Arial" w:eastAsia="Times New Roman" w:hAnsi="Arial" w:cs="Arial"/>
          <w:color w:val="000000"/>
          <w:sz w:val="20"/>
          <w:szCs w:val="20"/>
        </w:rPr>
        <w:br/>
      </w:r>
      <w:r w:rsidRPr="007D6887">
        <w:rPr>
          <w:rFonts w:ascii="Arial" w:eastAsia="Times New Roman" w:hAnsi="Arial" w:cs="Arial"/>
          <w:b/>
          <w:bCs/>
          <w:color w:val="000000"/>
          <w:sz w:val="20"/>
          <w:szCs w:val="20"/>
        </w:rPr>
        <w:lastRenderedPageBreak/>
        <w:t>Policy: Kidney/Pancreas Post Transplant Management Protocol of the Renal Transplant Recipient (Outpatient</w:t>
      </w:r>
      <w:proofErr w:type="gramStart"/>
      <w:r w:rsidRPr="007D6887">
        <w:rPr>
          <w:rFonts w:ascii="Arial" w:eastAsia="Times New Roman" w:hAnsi="Arial" w:cs="Arial"/>
          <w:b/>
          <w:bCs/>
          <w:color w:val="000000"/>
          <w:sz w:val="20"/>
          <w:szCs w:val="20"/>
        </w:rPr>
        <w:t>)</w:t>
      </w:r>
      <w:proofErr w:type="gramEnd"/>
      <w:r w:rsidRPr="007D6887">
        <w:rPr>
          <w:rFonts w:ascii="Arial" w:eastAsia="Times New Roman" w:hAnsi="Arial" w:cs="Arial"/>
          <w:color w:val="000000"/>
          <w:sz w:val="20"/>
          <w:szCs w:val="20"/>
        </w:rPr>
        <w:br/>
      </w:r>
      <w:r w:rsidRPr="007D6887">
        <w:rPr>
          <w:rFonts w:ascii="Arial" w:eastAsia="Times New Roman" w:hAnsi="Arial" w:cs="Arial"/>
          <w:color w:val="000000"/>
          <w:sz w:val="20"/>
          <w:szCs w:val="20"/>
        </w:rPr>
        <w:br/>
      </w:r>
      <w:r w:rsidRPr="007D6887">
        <w:rPr>
          <w:rFonts w:ascii="Arial" w:eastAsia="Times New Roman" w:hAnsi="Arial" w:cs="Arial"/>
          <w:b/>
          <w:bCs/>
          <w:color w:val="000000"/>
          <w:sz w:val="20"/>
          <w:szCs w:val="20"/>
        </w:rPr>
        <w:t>Policy: Kidney/Pancreas Post Transplant Medication Management Protocol</w:t>
      </w:r>
      <w:r w:rsidRPr="007D6887">
        <w:rPr>
          <w:rFonts w:ascii="Arial" w:eastAsia="Times New Roman" w:hAnsi="Arial" w:cs="Arial"/>
          <w:color w:val="000000"/>
          <w:sz w:val="20"/>
          <w:szCs w:val="20"/>
        </w:rPr>
        <w:br/>
      </w:r>
      <w:r w:rsidRPr="007D6887">
        <w:rPr>
          <w:rFonts w:ascii="Arial" w:eastAsia="Times New Roman" w:hAnsi="Arial" w:cs="Arial"/>
          <w:color w:val="000000"/>
          <w:sz w:val="20"/>
          <w:szCs w:val="20"/>
        </w:rPr>
        <w:br/>
      </w:r>
      <w:r w:rsidRPr="007D6887">
        <w:rPr>
          <w:rFonts w:ascii="Arial" w:eastAsia="Times New Roman" w:hAnsi="Arial" w:cs="Arial"/>
          <w:b/>
          <w:bCs/>
          <w:color w:val="000000"/>
          <w:sz w:val="20"/>
          <w:szCs w:val="20"/>
        </w:rPr>
        <w:t>Policy: Kidney/Pancreas Post Transplant Recipient Medication Minimization Clinic Protocol</w:t>
      </w:r>
      <w:r w:rsidRPr="007D6887">
        <w:rPr>
          <w:rFonts w:ascii="Arial" w:eastAsia="Times New Roman" w:hAnsi="Arial" w:cs="Arial"/>
          <w:color w:val="000000"/>
          <w:sz w:val="20"/>
          <w:szCs w:val="20"/>
        </w:rPr>
        <w:br/>
      </w:r>
      <w:r w:rsidRPr="007D6887">
        <w:rPr>
          <w:rFonts w:ascii="Arial" w:eastAsia="Times New Roman" w:hAnsi="Arial" w:cs="Arial"/>
          <w:color w:val="000000"/>
          <w:sz w:val="20"/>
          <w:szCs w:val="20"/>
        </w:rPr>
        <w:br/>
      </w:r>
      <w:r w:rsidRPr="007D6887">
        <w:rPr>
          <w:rFonts w:ascii="Arial" w:eastAsia="Times New Roman" w:hAnsi="Arial" w:cs="Arial"/>
          <w:color w:val="000000"/>
          <w:sz w:val="20"/>
          <w:szCs w:val="20"/>
        </w:rPr>
        <w:br/>
      </w:r>
      <w:r w:rsidRPr="007D6887">
        <w:rPr>
          <w:rFonts w:ascii="Arial" w:eastAsia="Times New Roman" w:hAnsi="Arial" w:cs="Arial"/>
          <w:b/>
          <w:bCs/>
          <w:color w:val="000000"/>
          <w:sz w:val="20"/>
          <w:szCs w:val="20"/>
          <w:u w:val="single"/>
        </w:rPr>
        <w:t>Approved By</w:t>
      </w:r>
      <w:r w:rsidRPr="007D6887">
        <w:rPr>
          <w:rFonts w:ascii="Arial" w:eastAsia="Times New Roman" w:hAnsi="Arial" w:cs="Arial"/>
          <w:color w:val="000000"/>
          <w:sz w:val="20"/>
          <w:szCs w:val="20"/>
        </w:rPr>
        <w:br/>
      </w:r>
      <w:r w:rsidRPr="007D6887">
        <w:rPr>
          <w:rFonts w:ascii="Arial" w:eastAsia="Times New Roman" w:hAnsi="Arial" w:cs="Arial"/>
          <w:b/>
          <w:bCs/>
          <w:color w:val="000000"/>
          <w:sz w:val="20"/>
          <w:szCs w:val="20"/>
        </w:rPr>
        <w:t>Transplant Leadership Group</w:t>
      </w:r>
      <w:r w:rsidRPr="007D6887">
        <w:rPr>
          <w:rFonts w:ascii="Arial" w:eastAsia="Times New Roman" w:hAnsi="Arial" w:cs="Arial"/>
          <w:color w:val="800000"/>
          <w:sz w:val="20"/>
          <w:szCs w:val="20"/>
        </w:rPr>
        <w:t xml:space="preserve"> </w:t>
      </w:r>
      <w:r w:rsidRPr="007D6887">
        <w:rPr>
          <w:rFonts w:ascii="Arial" w:eastAsia="Times New Roman" w:hAnsi="Arial" w:cs="Arial"/>
          <w:color w:val="000000"/>
          <w:sz w:val="20"/>
          <w:szCs w:val="20"/>
        </w:rPr>
        <w:br/>
      </w:r>
      <w:r w:rsidRPr="007D6887">
        <w:rPr>
          <w:rFonts w:ascii="Arial" w:eastAsia="Times New Roman" w:hAnsi="Arial" w:cs="Arial"/>
          <w:color w:val="000000"/>
          <w:sz w:val="20"/>
          <w:szCs w:val="20"/>
        </w:rPr>
        <w:br/>
      </w:r>
      <w:r w:rsidRPr="007D6887">
        <w:rPr>
          <w:rFonts w:ascii="Arial" w:eastAsia="Times New Roman" w:hAnsi="Arial" w:cs="Arial"/>
          <w:b/>
          <w:bCs/>
          <w:color w:val="000000"/>
          <w:sz w:val="20"/>
          <w:szCs w:val="20"/>
        </w:rPr>
        <w:t xml:space="preserve">Key Words For Search: </w:t>
      </w:r>
      <w:r w:rsidR="00BC62BB">
        <w:rPr>
          <w:rFonts w:ascii="Arial" w:eastAsia="Times New Roman" w:hAnsi="Arial" w:cs="Arial"/>
          <w:b/>
          <w:bCs/>
          <w:color w:val="000000"/>
          <w:sz w:val="20"/>
          <w:szCs w:val="20"/>
        </w:rPr>
        <w:t>therapeutic drug monitoring, AUC, area under the curve, inhibitor</w:t>
      </w:r>
    </w:p>
    <w:p w:rsidR="007D6887" w:rsidRPr="007D6887" w:rsidRDefault="007D6887" w:rsidP="007D6887">
      <w:pPr>
        <w:spacing w:after="240" w:line="240" w:lineRule="auto"/>
        <w:rPr>
          <w:rFonts w:ascii="Arial" w:eastAsia="Times New Roman" w:hAnsi="Arial" w:cs="Arial"/>
          <w:color w:val="000000"/>
          <w:sz w:val="20"/>
          <w:szCs w:val="20"/>
        </w:rPr>
      </w:pPr>
    </w:p>
    <w:p w:rsidR="007D6887" w:rsidRPr="007D6887" w:rsidRDefault="007D6887" w:rsidP="007D6887">
      <w:pPr>
        <w:pBdr>
          <w:top w:val="single" w:sz="6" w:space="1" w:color="auto"/>
        </w:pBdr>
        <w:spacing w:after="0" w:line="240" w:lineRule="auto"/>
        <w:jc w:val="center"/>
        <w:rPr>
          <w:rFonts w:ascii="Arial" w:eastAsia="Times New Roman" w:hAnsi="Arial" w:cs="Arial"/>
          <w:vanish/>
          <w:color w:val="000000"/>
          <w:sz w:val="20"/>
          <w:szCs w:val="20"/>
        </w:rPr>
      </w:pPr>
      <w:r w:rsidRPr="007D6887">
        <w:rPr>
          <w:rFonts w:ascii="Arial" w:eastAsia="Times New Roman" w:hAnsi="Arial" w:cs="Arial"/>
          <w:vanish/>
          <w:color w:val="000000"/>
          <w:sz w:val="20"/>
          <w:szCs w:val="20"/>
        </w:rPr>
        <w:t>Bottom of Form</w:t>
      </w:r>
    </w:p>
    <w:p w:rsidR="00270FFC" w:rsidRPr="007D6887" w:rsidRDefault="00BF3304">
      <w:pPr>
        <w:rPr>
          <w:rFonts w:ascii="Arial" w:hAnsi="Arial" w:cs="Arial"/>
          <w:sz w:val="20"/>
          <w:szCs w:val="20"/>
        </w:rPr>
      </w:pPr>
    </w:p>
    <w:sectPr w:rsidR="00270FFC" w:rsidRPr="007D68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61422"/>
    <w:multiLevelType w:val="hybridMultilevel"/>
    <w:tmpl w:val="5F944E1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CAB299C"/>
    <w:multiLevelType w:val="hybridMultilevel"/>
    <w:tmpl w:val="056EC1C2"/>
    <w:lvl w:ilvl="0" w:tplc="A88A46B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8C60A7"/>
    <w:multiLevelType w:val="multilevel"/>
    <w:tmpl w:val="7270C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2701FD"/>
    <w:multiLevelType w:val="hybridMultilevel"/>
    <w:tmpl w:val="A446B630"/>
    <w:lvl w:ilvl="0" w:tplc="B12C82F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A2481E"/>
    <w:multiLevelType w:val="hybridMultilevel"/>
    <w:tmpl w:val="16A63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85398C"/>
    <w:multiLevelType w:val="hybridMultilevel"/>
    <w:tmpl w:val="91CE256C"/>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887"/>
    <w:rsid w:val="00066FE5"/>
    <w:rsid w:val="0008029E"/>
    <w:rsid w:val="00195EAD"/>
    <w:rsid w:val="001C4824"/>
    <w:rsid w:val="001F3E1D"/>
    <w:rsid w:val="0027379C"/>
    <w:rsid w:val="002F4E2A"/>
    <w:rsid w:val="003002DB"/>
    <w:rsid w:val="003260C3"/>
    <w:rsid w:val="003720D1"/>
    <w:rsid w:val="00414082"/>
    <w:rsid w:val="00425656"/>
    <w:rsid w:val="004A3A0B"/>
    <w:rsid w:val="004C2D8F"/>
    <w:rsid w:val="005277E3"/>
    <w:rsid w:val="005B1FF5"/>
    <w:rsid w:val="005E2E3F"/>
    <w:rsid w:val="0063620D"/>
    <w:rsid w:val="00661C32"/>
    <w:rsid w:val="006637DA"/>
    <w:rsid w:val="00670DB8"/>
    <w:rsid w:val="007D6887"/>
    <w:rsid w:val="007E160D"/>
    <w:rsid w:val="00931156"/>
    <w:rsid w:val="00A02BE4"/>
    <w:rsid w:val="00A94AA8"/>
    <w:rsid w:val="00B8469D"/>
    <w:rsid w:val="00BA4D32"/>
    <w:rsid w:val="00BC0E22"/>
    <w:rsid w:val="00BC62BB"/>
    <w:rsid w:val="00C32D27"/>
    <w:rsid w:val="00CC10E6"/>
    <w:rsid w:val="00CE5D3B"/>
    <w:rsid w:val="00D10E24"/>
    <w:rsid w:val="00DE7E38"/>
    <w:rsid w:val="00E52EB8"/>
    <w:rsid w:val="00EE6DBC"/>
    <w:rsid w:val="00EE6F3C"/>
    <w:rsid w:val="00EF2B0C"/>
    <w:rsid w:val="00F25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0B3842-43E4-4122-8CD8-35290B9C7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7D6887"/>
    <w:pPr>
      <w:pBdr>
        <w:bottom w:val="single" w:sz="6" w:space="1" w:color="auto"/>
      </w:pBdr>
      <w:spacing w:after="0" w:line="240" w:lineRule="auto"/>
      <w:jc w:val="center"/>
    </w:pPr>
    <w:rPr>
      <w:rFonts w:ascii="Arial" w:eastAsia="Times New Roman" w:hAnsi="Arial" w:cs="Arial"/>
      <w:vanish/>
      <w:color w:val="000000"/>
      <w:sz w:val="16"/>
      <w:szCs w:val="16"/>
    </w:rPr>
  </w:style>
  <w:style w:type="character" w:customStyle="1" w:styleId="z-TopofFormChar">
    <w:name w:val="z-Top of Form Char"/>
    <w:basedOn w:val="DefaultParagraphFont"/>
    <w:link w:val="z-TopofForm"/>
    <w:uiPriority w:val="99"/>
    <w:semiHidden/>
    <w:rsid w:val="007D6887"/>
    <w:rPr>
      <w:rFonts w:ascii="Arial" w:eastAsia="Times New Roman" w:hAnsi="Arial" w:cs="Arial"/>
      <w:vanish/>
      <w:color w:val="000000"/>
      <w:sz w:val="16"/>
      <w:szCs w:val="16"/>
    </w:rPr>
  </w:style>
  <w:style w:type="character" w:styleId="Hyperlink">
    <w:name w:val="Hyperlink"/>
    <w:basedOn w:val="DefaultParagraphFont"/>
    <w:uiPriority w:val="99"/>
    <w:semiHidden/>
    <w:unhideWhenUsed/>
    <w:rsid w:val="007D6887"/>
    <w:rPr>
      <w:color w:val="0000FF"/>
      <w:u w:val="single"/>
    </w:rPr>
  </w:style>
  <w:style w:type="paragraph" w:styleId="NormalWeb">
    <w:name w:val="Normal (Web)"/>
    <w:basedOn w:val="Normal"/>
    <w:uiPriority w:val="99"/>
    <w:unhideWhenUsed/>
    <w:rsid w:val="007D6887"/>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z-BottomofForm">
    <w:name w:val="HTML Bottom of Form"/>
    <w:basedOn w:val="Normal"/>
    <w:next w:val="Normal"/>
    <w:link w:val="z-BottomofFormChar"/>
    <w:hidden/>
    <w:uiPriority w:val="99"/>
    <w:semiHidden/>
    <w:unhideWhenUsed/>
    <w:rsid w:val="007D6887"/>
    <w:pPr>
      <w:pBdr>
        <w:top w:val="single" w:sz="6" w:space="1" w:color="auto"/>
      </w:pBdr>
      <w:spacing w:after="0" w:line="240" w:lineRule="auto"/>
      <w:jc w:val="center"/>
    </w:pPr>
    <w:rPr>
      <w:rFonts w:ascii="Arial" w:eastAsia="Times New Roman" w:hAnsi="Arial" w:cs="Arial"/>
      <w:vanish/>
      <w:color w:val="000000"/>
      <w:sz w:val="16"/>
      <w:szCs w:val="16"/>
    </w:rPr>
  </w:style>
  <w:style w:type="character" w:customStyle="1" w:styleId="z-BottomofFormChar">
    <w:name w:val="z-Bottom of Form Char"/>
    <w:basedOn w:val="DefaultParagraphFont"/>
    <w:link w:val="z-BottomofForm"/>
    <w:uiPriority w:val="99"/>
    <w:semiHidden/>
    <w:rsid w:val="007D6887"/>
    <w:rPr>
      <w:rFonts w:ascii="Arial" w:eastAsia="Times New Roman" w:hAnsi="Arial" w:cs="Arial"/>
      <w:vanish/>
      <w:color w:val="000000"/>
      <w:sz w:val="16"/>
      <w:szCs w:val="16"/>
    </w:rPr>
  </w:style>
  <w:style w:type="paragraph" w:styleId="ListParagraph">
    <w:name w:val="List Paragraph"/>
    <w:basedOn w:val="Normal"/>
    <w:uiPriority w:val="34"/>
    <w:qFormat/>
    <w:rsid w:val="007D6887"/>
    <w:pPr>
      <w:ind w:left="720"/>
      <w:contextualSpacing/>
    </w:pPr>
  </w:style>
  <w:style w:type="paragraph" w:styleId="BalloonText">
    <w:name w:val="Balloon Text"/>
    <w:basedOn w:val="Normal"/>
    <w:link w:val="BalloonTextChar"/>
    <w:uiPriority w:val="99"/>
    <w:semiHidden/>
    <w:unhideWhenUsed/>
    <w:rsid w:val="007D68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6887"/>
    <w:rPr>
      <w:rFonts w:ascii="Segoe UI" w:hAnsi="Segoe UI" w:cs="Segoe UI"/>
      <w:sz w:val="18"/>
      <w:szCs w:val="18"/>
    </w:rPr>
  </w:style>
  <w:style w:type="table" w:styleId="TableGrid">
    <w:name w:val="Table Grid"/>
    <w:basedOn w:val="TableNormal"/>
    <w:uiPriority w:val="39"/>
    <w:rsid w:val="005277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Revision">
    <w:name w:val="Revision"/>
    <w:hidden/>
    <w:uiPriority w:val="99"/>
    <w:semiHidden/>
    <w:rsid w:val="002F4E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881461">
      <w:bodyDiv w:val="1"/>
      <w:marLeft w:val="0"/>
      <w:marRight w:val="0"/>
      <w:marTop w:val="0"/>
      <w:marBottom w:val="0"/>
      <w:divBdr>
        <w:top w:val="none" w:sz="0" w:space="0" w:color="auto"/>
        <w:left w:val="none" w:sz="0" w:space="0" w:color="auto"/>
        <w:bottom w:val="none" w:sz="0" w:space="0" w:color="auto"/>
        <w:right w:val="none" w:sz="0" w:space="0" w:color="auto"/>
      </w:divBdr>
      <w:divsChild>
        <w:div w:id="1171062842">
          <w:marLeft w:val="0"/>
          <w:marRight w:val="0"/>
          <w:marTop w:val="0"/>
          <w:marBottom w:val="0"/>
          <w:divBdr>
            <w:top w:val="none" w:sz="0" w:space="0" w:color="auto"/>
            <w:left w:val="none" w:sz="0" w:space="0" w:color="auto"/>
            <w:bottom w:val="none" w:sz="0" w:space="0" w:color="auto"/>
            <w:right w:val="none" w:sz="0" w:space="0" w:color="auto"/>
          </w:divBdr>
          <w:divsChild>
            <w:div w:id="821772624">
              <w:marLeft w:val="0"/>
              <w:marRight w:val="0"/>
              <w:marTop w:val="0"/>
              <w:marBottom w:val="0"/>
              <w:divBdr>
                <w:top w:val="none" w:sz="0" w:space="0" w:color="auto"/>
                <w:left w:val="none" w:sz="0" w:space="0" w:color="auto"/>
                <w:bottom w:val="none" w:sz="0" w:space="0" w:color="auto"/>
                <w:right w:val="none" w:sz="0" w:space="0" w:color="auto"/>
              </w:divBdr>
              <w:divsChild>
                <w:div w:id="379983137">
                  <w:marLeft w:val="0"/>
                  <w:marRight w:val="0"/>
                  <w:marTop w:val="0"/>
                  <w:marBottom w:val="0"/>
                  <w:divBdr>
                    <w:top w:val="none" w:sz="0" w:space="0" w:color="auto"/>
                    <w:left w:val="none" w:sz="0" w:space="0" w:color="auto"/>
                    <w:bottom w:val="none" w:sz="0" w:space="0" w:color="auto"/>
                    <w:right w:val="none" w:sz="0" w:space="0" w:color="auto"/>
                  </w:divBdr>
                  <w:divsChild>
                    <w:div w:id="1180244644">
                      <w:marLeft w:val="0"/>
                      <w:marRight w:val="0"/>
                      <w:marTop w:val="0"/>
                      <w:marBottom w:val="0"/>
                      <w:divBdr>
                        <w:top w:val="none" w:sz="0" w:space="0" w:color="auto"/>
                        <w:left w:val="none" w:sz="0" w:space="0" w:color="auto"/>
                        <w:bottom w:val="none" w:sz="0" w:space="0" w:color="auto"/>
                        <w:right w:val="none" w:sz="0" w:space="0" w:color="auto"/>
                      </w:divBdr>
                      <w:divsChild>
                        <w:div w:id="1587570096">
                          <w:marLeft w:val="0"/>
                          <w:marRight w:val="0"/>
                          <w:marTop w:val="0"/>
                          <w:marBottom w:val="0"/>
                          <w:divBdr>
                            <w:top w:val="none" w:sz="0" w:space="0" w:color="auto"/>
                            <w:left w:val="none" w:sz="0" w:space="0" w:color="auto"/>
                            <w:bottom w:val="none" w:sz="0" w:space="0" w:color="auto"/>
                            <w:right w:val="none" w:sz="0" w:space="0" w:color="auto"/>
                          </w:divBdr>
                        </w:div>
                      </w:divsChild>
                    </w:div>
                    <w:div w:id="530072022">
                      <w:marLeft w:val="0"/>
                      <w:marRight w:val="0"/>
                      <w:marTop w:val="0"/>
                      <w:marBottom w:val="0"/>
                      <w:divBdr>
                        <w:top w:val="none" w:sz="0" w:space="0" w:color="auto"/>
                        <w:left w:val="none" w:sz="0" w:space="0" w:color="auto"/>
                        <w:bottom w:val="none" w:sz="0" w:space="0" w:color="auto"/>
                        <w:right w:val="none" w:sz="0" w:space="0" w:color="auto"/>
                      </w:divBdr>
                      <w:divsChild>
                        <w:div w:id="1815175406">
                          <w:marLeft w:val="0"/>
                          <w:marRight w:val="0"/>
                          <w:marTop w:val="0"/>
                          <w:marBottom w:val="0"/>
                          <w:divBdr>
                            <w:top w:val="none" w:sz="0" w:space="0" w:color="auto"/>
                            <w:left w:val="none" w:sz="0" w:space="0" w:color="auto"/>
                            <w:bottom w:val="none" w:sz="0" w:space="0" w:color="auto"/>
                            <w:right w:val="none" w:sz="0" w:space="0" w:color="auto"/>
                          </w:divBdr>
                        </w:div>
                      </w:divsChild>
                    </w:div>
                    <w:div w:id="21903875">
                      <w:marLeft w:val="0"/>
                      <w:marRight w:val="0"/>
                      <w:marTop w:val="0"/>
                      <w:marBottom w:val="0"/>
                      <w:divBdr>
                        <w:top w:val="none" w:sz="0" w:space="0" w:color="auto"/>
                        <w:left w:val="none" w:sz="0" w:space="0" w:color="auto"/>
                        <w:bottom w:val="none" w:sz="0" w:space="0" w:color="auto"/>
                        <w:right w:val="none" w:sz="0" w:space="0" w:color="auto"/>
                      </w:divBdr>
                      <w:divsChild>
                        <w:div w:id="1373529710">
                          <w:marLeft w:val="0"/>
                          <w:marRight w:val="0"/>
                          <w:marTop w:val="0"/>
                          <w:marBottom w:val="0"/>
                          <w:divBdr>
                            <w:top w:val="none" w:sz="0" w:space="0" w:color="auto"/>
                            <w:left w:val="none" w:sz="0" w:space="0" w:color="auto"/>
                            <w:bottom w:val="none" w:sz="0" w:space="0" w:color="auto"/>
                            <w:right w:val="none" w:sz="0" w:space="0" w:color="auto"/>
                          </w:divBdr>
                        </w:div>
                        <w:div w:id="22434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9493998">
      <w:bodyDiv w:val="1"/>
      <w:marLeft w:val="0"/>
      <w:marRight w:val="0"/>
      <w:marTop w:val="0"/>
      <w:marBottom w:val="0"/>
      <w:divBdr>
        <w:top w:val="none" w:sz="0" w:space="0" w:color="auto"/>
        <w:left w:val="none" w:sz="0" w:space="0" w:color="auto"/>
        <w:bottom w:val="none" w:sz="0" w:space="0" w:color="auto"/>
        <w:right w:val="none" w:sz="0" w:space="0" w:color="auto"/>
      </w:divBdr>
      <w:divsChild>
        <w:div w:id="1792237597">
          <w:marLeft w:val="0"/>
          <w:marRight w:val="0"/>
          <w:marTop w:val="0"/>
          <w:marBottom w:val="0"/>
          <w:divBdr>
            <w:top w:val="none" w:sz="0" w:space="0" w:color="auto"/>
            <w:left w:val="none" w:sz="0" w:space="0" w:color="auto"/>
            <w:bottom w:val="none" w:sz="0" w:space="0" w:color="auto"/>
            <w:right w:val="none" w:sz="0" w:space="0" w:color="auto"/>
          </w:divBdr>
          <w:divsChild>
            <w:div w:id="360470627">
              <w:marLeft w:val="0"/>
              <w:marRight w:val="0"/>
              <w:marTop w:val="0"/>
              <w:marBottom w:val="0"/>
              <w:divBdr>
                <w:top w:val="none" w:sz="0" w:space="0" w:color="auto"/>
                <w:left w:val="none" w:sz="0" w:space="0" w:color="auto"/>
                <w:bottom w:val="none" w:sz="0" w:space="0" w:color="auto"/>
                <w:right w:val="none" w:sz="0" w:space="0" w:color="auto"/>
              </w:divBdr>
              <w:divsChild>
                <w:div w:id="2001999767">
                  <w:marLeft w:val="0"/>
                  <w:marRight w:val="0"/>
                  <w:marTop w:val="0"/>
                  <w:marBottom w:val="0"/>
                  <w:divBdr>
                    <w:top w:val="none" w:sz="0" w:space="0" w:color="auto"/>
                    <w:left w:val="none" w:sz="0" w:space="0" w:color="auto"/>
                    <w:bottom w:val="none" w:sz="0" w:space="0" w:color="auto"/>
                    <w:right w:val="none" w:sz="0" w:space="0" w:color="auto"/>
                  </w:divBdr>
                  <w:divsChild>
                    <w:div w:id="464467451">
                      <w:marLeft w:val="0"/>
                      <w:marRight w:val="0"/>
                      <w:marTop w:val="0"/>
                      <w:marBottom w:val="0"/>
                      <w:divBdr>
                        <w:top w:val="none" w:sz="0" w:space="0" w:color="auto"/>
                        <w:left w:val="none" w:sz="0" w:space="0" w:color="auto"/>
                        <w:bottom w:val="none" w:sz="0" w:space="0" w:color="auto"/>
                        <w:right w:val="none" w:sz="0" w:space="0" w:color="auto"/>
                      </w:divBdr>
                      <w:divsChild>
                        <w:div w:id="52606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uhnotes.eushc.org/ehc/transplantpolicies.nsf/83ed6526aa87e46985256b8e0058ef5b/5286419edc1d1da585257681005a7c61/$FILE/Armenda%20limited_sampling-tacAUC_adult%20Kirk%2010%2021%2009.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4.gif"/><Relationship Id="rId5" Type="http://schemas.openxmlformats.org/officeDocument/2006/relationships/hyperlink" Target="http://euhnotes.eushc.org/ehc/transplantpolicies.nsf/83ed6526aa87e46985256b8e0058ef5b/5286419edc1d1da585257681005a7c61/$FILE/Hardinger-tac%20aucqd%20Kirk%2010%2021%2009.pdf" TargetMode="External"/><Relationship Id="rId10" Type="http://schemas.openxmlformats.org/officeDocument/2006/relationships/image" Target="media/image3.gif"/><Relationship Id="rId4" Type="http://schemas.openxmlformats.org/officeDocument/2006/relationships/webSettings" Target="webSettings.xml"/><Relationship Id="rId9" Type="http://schemas.openxmlformats.org/officeDocument/2006/relationships/hyperlink" Target="http://euhnotes.eushc.org/ehc/transplantpolicies.nsf/83ed6526aa87e46985256b8e0058ef5b/5286419edc1d1da585257681005a7c61/$FILE/Filler-peds%20AUC%20Kirk%2010%2021%200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948</Words>
  <Characters>5408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Emory Healthcare</Company>
  <LinksUpToDate>false</LinksUpToDate>
  <CharactersWithSpaces>6344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Roach, Kerri Ann</dc:creator>
  <cp:keywords/>
  <dc:description/>
  <cp:lastModifiedBy>Milam, Rick</cp:lastModifiedBy>
  <cp:revision>2</cp:revision>
  <cp:lastPrinted>2017-05-24T13:20:00Z</cp:lastPrinted>
  <dcterms:created xsi:type="dcterms:W3CDTF">2017-05-25T13:02:00Z</dcterms:created>
  <dcterms:modified xsi:type="dcterms:W3CDTF">2017-05-25T13:02:00Z</dcterms:modified>
</cp:coreProperties>
</file>