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16C0" w14:textId="77777777" w:rsidR="00AF0522" w:rsidRDefault="00AF0522" w:rsidP="002E25F5">
      <w:pPr>
        <w:spacing w:after="160" w:line="259" w:lineRule="auto"/>
        <w:rPr>
          <w:rFonts w:ascii="Arial" w:eastAsiaTheme="minorHAnsi" w:hAnsi="Arial" w:cs="Arial"/>
          <w:sz w:val="22"/>
          <w:szCs w:val="22"/>
          <w:u w:val="single"/>
        </w:rPr>
      </w:pPr>
      <w:r>
        <w:rPr>
          <w:rFonts w:ascii="Arial" w:eastAsiaTheme="minorHAnsi" w:hAnsi="Arial" w:cs="Arial"/>
          <w:b/>
        </w:rPr>
        <w:t>Shingrix</w:t>
      </w:r>
      <w:r w:rsidRPr="00416761">
        <w:rPr>
          <w:rFonts w:ascii="Arial" w:eastAsiaTheme="minorHAnsi" w:hAnsi="Arial" w:cs="Arial"/>
          <w:b/>
          <w:vertAlign w:val="superscript"/>
        </w:rPr>
        <w:t xml:space="preserve">® </w:t>
      </w:r>
      <w:r>
        <w:rPr>
          <w:rFonts w:ascii="Arial" w:eastAsiaTheme="minorHAnsi" w:hAnsi="Arial" w:cs="Arial"/>
          <w:b/>
        </w:rPr>
        <w:t xml:space="preserve">Immunization for Patients Before and After </w:t>
      </w:r>
      <w:r w:rsidRPr="00C769D2">
        <w:rPr>
          <w:rFonts w:ascii="Arial" w:eastAsiaTheme="minorHAnsi" w:hAnsi="Arial" w:cs="Arial"/>
          <w:b/>
        </w:rPr>
        <w:t>Solid Organ Transplant</w:t>
      </w:r>
      <w:r>
        <w:rPr>
          <w:rFonts w:ascii="Arial" w:eastAsiaTheme="minorHAnsi" w:hAnsi="Arial" w:cs="Arial"/>
          <w:b/>
        </w:rPr>
        <w:t>ation</w:t>
      </w:r>
    </w:p>
    <w:p w14:paraId="1D59999F" w14:textId="3BADB5ED" w:rsidR="00AC4BB7" w:rsidRDefault="0055380E" w:rsidP="00B51F36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The </w:t>
      </w:r>
      <w:r w:rsidR="008E6DE7">
        <w:rPr>
          <w:rFonts w:ascii="Arial" w:eastAsiaTheme="minorHAnsi" w:hAnsi="Arial" w:cs="Arial"/>
          <w:sz w:val="22"/>
          <w:szCs w:val="22"/>
        </w:rPr>
        <w:t>sh</w:t>
      </w:r>
      <w:r>
        <w:rPr>
          <w:rFonts w:ascii="Arial" w:eastAsiaTheme="minorHAnsi" w:hAnsi="Arial" w:cs="Arial"/>
          <w:sz w:val="22"/>
          <w:szCs w:val="22"/>
        </w:rPr>
        <w:t>ingles vaccine</w:t>
      </w:r>
      <w:r w:rsidR="00013C86">
        <w:rPr>
          <w:rFonts w:ascii="Arial" w:eastAsiaTheme="minorHAnsi" w:hAnsi="Arial" w:cs="Arial"/>
          <w:sz w:val="22"/>
          <w:szCs w:val="22"/>
        </w:rPr>
        <w:t>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013C86">
        <w:rPr>
          <w:rFonts w:ascii="Arial" w:eastAsiaTheme="minorHAnsi" w:hAnsi="Arial" w:cs="Arial"/>
          <w:sz w:val="22"/>
          <w:szCs w:val="22"/>
        </w:rPr>
        <w:t>Shingrix</w:t>
      </w:r>
      <w:r w:rsidR="00013C86" w:rsidRPr="008E6DE7">
        <w:rPr>
          <w:rFonts w:ascii="Arial" w:eastAsiaTheme="minorHAnsi" w:hAnsi="Arial" w:cs="Arial"/>
          <w:sz w:val="22"/>
          <w:szCs w:val="22"/>
          <w:vertAlign w:val="superscript"/>
        </w:rPr>
        <w:t xml:space="preserve">® </w:t>
      </w:r>
      <w:r w:rsidR="00013C86">
        <w:rPr>
          <w:rFonts w:ascii="Arial" w:eastAsiaTheme="minorHAnsi" w:hAnsi="Arial" w:cs="Arial"/>
          <w:sz w:val="22"/>
          <w:szCs w:val="22"/>
        </w:rPr>
        <w:t xml:space="preserve">(recombinant vaccine), </w:t>
      </w:r>
      <w:r>
        <w:rPr>
          <w:rFonts w:ascii="Arial" w:eastAsiaTheme="minorHAnsi" w:hAnsi="Arial" w:cs="Arial"/>
          <w:sz w:val="22"/>
          <w:szCs w:val="22"/>
        </w:rPr>
        <w:t xml:space="preserve">is </w:t>
      </w:r>
      <w:r w:rsidR="008A7286">
        <w:rPr>
          <w:rFonts w:ascii="Arial" w:eastAsiaTheme="minorHAnsi" w:hAnsi="Arial" w:cs="Arial"/>
          <w:sz w:val="22"/>
          <w:szCs w:val="22"/>
        </w:rPr>
        <w:t>used</w:t>
      </w:r>
      <w:r>
        <w:rPr>
          <w:rFonts w:ascii="Arial" w:eastAsiaTheme="minorHAnsi" w:hAnsi="Arial" w:cs="Arial"/>
          <w:sz w:val="22"/>
          <w:szCs w:val="22"/>
        </w:rPr>
        <w:t xml:space="preserve"> to protect against shingles</w:t>
      </w:r>
      <w:r w:rsidR="008E6DE7">
        <w:rPr>
          <w:rFonts w:ascii="Arial" w:eastAsiaTheme="minorHAnsi" w:hAnsi="Arial" w:cs="Arial"/>
          <w:sz w:val="22"/>
          <w:szCs w:val="22"/>
        </w:rPr>
        <w:t xml:space="preserve"> and postherpetic neuralgia.</w:t>
      </w:r>
      <w:r w:rsidR="00960D54">
        <w:rPr>
          <w:rFonts w:ascii="Arial" w:eastAsiaTheme="minorHAnsi" w:hAnsi="Arial" w:cs="Arial"/>
          <w:sz w:val="22"/>
          <w:szCs w:val="22"/>
        </w:rPr>
        <w:t xml:space="preserve"> Shingrix</w:t>
      </w:r>
      <w:r w:rsidR="00960D54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="00960D54">
        <w:rPr>
          <w:rFonts w:ascii="Arial" w:eastAsiaTheme="minorHAnsi" w:hAnsi="Arial" w:cs="Arial"/>
          <w:sz w:val="22"/>
          <w:szCs w:val="22"/>
        </w:rPr>
        <w:t xml:space="preserve"> is more than 90% effective in preventing shingles, and there is no live </w:t>
      </w:r>
      <w:r w:rsidR="00C56C6B">
        <w:rPr>
          <w:rFonts w:ascii="Arial" w:eastAsiaTheme="minorHAnsi" w:hAnsi="Arial" w:cs="Arial"/>
          <w:sz w:val="22"/>
          <w:szCs w:val="22"/>
        </w:rPr>
        <w:t>v</w:t>
      </w:r>
      <w:r w:rsidR="00960D54">
        <w:rPr>
          <w:rFonts w:ascii="Arial" w:eastAsiaTheme="minorHAnsi" w:hAnsi="Arial" w:cs="Arial"/>
          <w:sz w:val="22"/>
          <w:szCs w:val="22"/>
        </w:rPr>
        <w:t xml:space="preserve">irus in the vaccine. </w:t>
      </w:r>
      <w:r w:rsidR="008E6DE7" w:rsidRPr="007169DA">
        <w:rPr>
          <w:rFonts w:ascii="Arial" w:eastAsiaTheme="minorHAnsi" w:hAnsi="Arial" w:cs="Arial"/>
          <w:bCs/>
          <w:sz w:val="22"/>
          <w:szCs w:val="22"/>
        </w:rPr>
        <w:t xml:space="preserve">The </w:t>
      </w:r>
      <w:r w:rsidR="00013C86" w:rsidRPr="007169DA">
        <w:rPr>
          <w:rFonts w:ascii="Arial" w:eastAsiaTheme="minorHAnsi" w:hAnsi="Arial" w:cs="Arial"/>
          <w:bCs/>
          <w:sz w:val="22"/>
          <w:szCs w:val="22"/>
        </w:rPr>
        <w:t>Advisory Committee on Immunization Practices (ACIP)</w:t>
      </w:r>
      <w:r w:rsidR="008E6DE7" w:rsidRPr="007169DA">
        <w:rPr>
          <w:rFonts w:ascii="Arial" w:eastAsiaTheme="minorHAnsi" w:hAnsi="Arial" w:cs="Arial"/>
          <w:bCs/>
          <w:sz w:val="22"/>
          <w:szCs w:val="22"/>
        </w:rPr>
        <w:t xml:space="preserve"> currently recommends all healthy</w:t>
      </w:r>
      <w:r w:rsidR="00C56C6B" w:rsidRPr="007169DA">
        <w:rPr>
          <w:rFonts w:ascii="Arial" w:eastAsiaTheme="minorHAnsi" w:hAnsi="Arial" w:cs="Arial"/>
          <w:bCs/>
          <w:sz w:val="22"/>
          <w:szCs w:val="22"/>
        </w:rPr>
        <w:t>, immunocompetent</w:t>
      </w:r>
      <w:r w:rsidR="008E6DE7" w:rsidRPr="007169DA">
        <w:rPr>
          <w:rFonts w:ascii="Arial" w:eastAsiaTheme="minorHAnsi" w:hAnsi="Arial" w:cs="Arial"/>
          <w:bCs/>
          <w:sz w:val="22"/>
          <w:szCs w:val="22"/>
        </w:rPr>
        <w:t xml:space="preserve"> adults age 50 years and old</w:t>
      </w:r>
      <w:r w:rsidR="008A7286" w:rsidRPr="007169DA">
        <w:rPr>
          <w:rFonts w:ascii="Arial" w:eastAsiaTheme="minorHAnsi" w:hAnsi="Arial" w:cs="Arial"/>
          <w:bCs/>
          <w:sz w:val="22"/>
          <w:szCs w:val="22"/>
        </w:rPr>
        <w:t>er</w:t>
      </w:r>
      <w:r w:rsidR="00013C86">
        <w:rPr>
          <w:rFonts w:ascii="Arial" w:eastAsiaTheme="minorHAnsi" w:hAnsi="Arial" w:cs="Arial"/>
          <w:bCs/>
          <w:sz w:val="22"/>
          <w:szCs w:val="22"/>
        </w:rPr>
        <w:t xml:space="preserve">, </w:t>
      </w:r>
      <w:r w:rsidR="00013C86" w:rsidRPr="007169DA">
        <w:rPr>
          <w:rFonts w:ascii="Arial" w:eastAsiaTheme="minorHAnsi" w:hAnsi="Arial" w:cs="Arial"/>
          <w:bCs/>
          <w:sz w:val="22"/>
          <w:szCs w:val="22"/>
          <w:u w:val="single"/>
        </w:rPr>
        <w:t>and all patients 19 years and older who are immunocompromised</w:t>
      </w:r>
      <w:r w:rsidR="00013C86">
        <w:rPr>
          <w:rFonts w:ascii="Arial" w:eastAsiaTheme="minorHAnsi" w:hAnsi="Arial" w:cs="Arial"/>
          <w:bCs/>
          <w:sz w:val="22"/>
          <w:szCs w:val="22"/>
        </w:rPr>
        <w:t>,</w:t>
      </w:r>
      <w:r w:rsidR="008E6DE7" w:rsidRPr="007169DA">
        <w:rPr>
          <w:rFonts w:ascii="Arial" w:eastAsiaTheme="minorHAnsi" w:hAnsi="Arial" w:cs="Arial"/>
          <w:bCs/>
          <w:sz w:val="22"/>
          <w:szCs w:val="22"/>
        </w:rPr>
        <w:t xml:space="preserve"> receive the </w:t>
      </w:r>
      <w:r w:rsidR="00960D54" w:rsidRPr="007169DA">
        <w:rPr>
          <w:rFonts w:ascii="Arial" w:eastAsiaTheme="minorHAnsi" w:hAnsi="Arial" w:cs="Arial"/>
          <w:bCs/>
          <w:sz w:val="22"/>
          <w:szCs w:val="22"/>
        </w:rPr>
        <w:t>Shingrix</w:t>
      </w:r>
      <w:r w:rsidR="00960D54" w:rsidRPr="007169DA">
        <w:rPr>
          <w:rFonts w:ascii="Arial" w:eastAsiaTheme="minorHAnsi" w:hAnsi="Arial" w:cs="Arial"/>
          <w:bCs/>
          <w:sz w:val="22"/>
          <w:szCs w:val="22"/>
          <w:vertAlign w:val="superscript"/>
        </w:rPr>
        <w:t>®</w:t>
      </w:r>
      <w:r w:rsidR="008E6DE7" w:rsidRPr="007169DA">
        <w:rPr>
          <w:rFonts w:ascii="Arial" w:eastAsiaTheme="minorHAnsi" w:hAnsi="Arial" w:cs="Arial"/>
          <w:bCs/>
          <w:sz w:val="22"/>
          <w:szCs w:val="22"/>
        </w:rPr>
        <w:t xml:space="preserve"> vaccine.</w:t>
      </w:r>
      <w:r w:rsidR="008E6DE7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1672262" w14:textId="6100AA4C" w:rsidR="00AF0522" w:rsidRDefault="00AF0522" w:rsidP="00AF0522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The Emory Transplant Center is recommending </w:t>
      </w:r>
      <w:r>
        <w:rPr>
          <w:rFonts w:ascii="Arial" w:hAnsi="Arial" w:cs="Arial"/>
          <w:sz w:val="22"/>
          <w:szCs w:val="22"/>
        </w:rPr>
        <w:t>a</w:t>
      </w:r>
      <w:r w:rsidR="008E6DE7" w:rsidRPr="00AF0522">
        <w:rPr>
          <w:rFonts w:ascii="Arial" w:hAnsi="Arial" w:cs="Arial"/>
          <w:sz w:val="22"/>
          <w:szCs w:val="22"/>
        </w:rPr>
        <w:t xml:space="preserve">ll </w:t>
      </w:r>
      <w:r w:rsidR="00013C86">
        <w:rPr>
          <w:rFonts w:ascii="Arial" w:hAnsi="Arial" w:cs="Arial"/>
          <w:sz w:val="22"/>
          <w:szCs w:val="22"/>
        </w:rPr>
        <w:t xml:space="preserve">patients </w:t>
      </w:r>
      <w:r w:rsidR="008E6DE7" w:rsidRPr="00AF0522">
        <w:rPr>
          <w:rFonts w:ascii="Arial" w:hAnsi="Arial" w:cs="Arial"/>
          <w:sz w:val="22"/>
          <w:szCs w:val="22"/>
        </w:rPr>
        <w:t xml:space="preserve">age </w:t>
      </w:r>
      <w:r w:rsidR="00013C86">
        <w:rPr>
          <w:rFonts w:ascii="Arial" w:hAnsi="Arial" w:cs="Arial"/>
          <w:sz w:val="22"/>
          <w:szCs w:val="22"/>
        </w:rPr>
        <w:t>19</w:t>
      </w:r>
      <w:r w:rsidR="008E6DE7" w:rsidRPr="00AF0522">
        <w:rPr>
          <w:rFonts w:ascii="Arial" w:hAnsi="Arial" w:cs="Arial"/>
          <w:sz w:val="22"/>
          <w:szCs w:val="22"/>
        </w:rPr>
        <w:t xml:space="preserve"> years and older</w:t>
      </w:r>
      <w:r w:rsidR="00013C86">
        <w:rPr>
          <w:rFonts w:ascii="Arial" w:hAnsi="Arial" w:cs="Arial"/>
          <w:sz w:val="22"/>
          <w:szCs w:val="22"/>
        </w:rPr>
        <w:t xml:space="preserve"> who have received a transplant or are listed for a transplant</w:t>
      </w:r>
      <w:r w:rsidR="008E6DE7" w:rsidRPr="00AF0522">
        <w:rPr>
          <w:rFonts w:ascii="Arial" w:hAnsi="Arial" w:cs="Arial"/>
          <w:sz w:val="22"/>
          <w:szCs w:val="22"/>
        </w:rPr>
        <w:t xml:space="preserve"> should receive 2 doses of the Shingrix</w:t>
      </w:r>
      <w:r w:rsidR="008E6DE7" w:rsidRPr="00AF0522">
        <w:rPr>
          <w:rFonts w:ascii="Arial" w:hAnsi="Arial" w:cs="Arial"/>
          <w:sz w:val="22"/>
          <w:szCs w:val="22"/>
          <w:vertAlign w:val="superscript"/>
        </w:rPr>
        <w:t>®</w:t>
      </w:r>
      <w:r w:rsidR="00085C74" w:rsidRPr="00AF0522">
        <w:rPr>
          <w:rFonts w:ascii="Arial" w:hAnsi="Arial" w:cs="Arial"/>
          <w:sz w:val="22"/>
          <w:szCs w:val="22"/>
        </w:rPr>
        <w:t xml:space="preserve"> vaccine separated by </w:t>
      </w:r>
      <w:r w:rsidR="008E6DE7" w:rsidRPr="00AF0522">
        <w:rPr>
          <w:rFonts w:ascii="Arial" w:hAnsi="Arial" w:cs="Arial"/>
          <w:sz w:val="22"/>
          <w:szCs w:val="22"/>
        </w:rPr>
        <w:t xml:space="preserve">2-6 months. </w:t>
      </w:r>
    </w:p>
    <w:p w14:paraId="3C9ED73A" w14:textId="61B54ECE" w:rsidR="00AF0522" w:rsidRDefault="008E6DE7" w:rsidP="00AF0522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AF0522">
        <w:rPr>
          <w:rFonts w:ascii="Arial" w:eastAsiaTheme="minorHAnsi" w:hAnsi="Arial" w:cs="Arial"/>
          <w:sz w:val="22"/>
          <w:szCs w:val="22"/>
        </w:rPr>
        <w:t>Patients can still receive Shingrix</w:t>
      </w:r>
      <w:r w:rsidRPr="00AF0522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AF0522">
        <w:rPr>
          <w:rFonts w:ascii="Arial" w:eastAsiaTheme="minorHAnsi" w:hAnsi="Arial" w:cs="Arial"/>
          <w:sz w:val="22"/>
          <w:szCs w:val="22"/>
        </w:rPr>
        <w:t xml:space="preserve"> if they had shingles in the past, </w:t>
      </w:r>
      <w:r w:rsidR="00013C86">
        <w:rPr>
          <w:rFonts w:ascii="Arial" w:eastAsiaTheme="minorHAnsi" w:hAnsi="Arial" w:cs="Arial"/>
          <w:sz w:val="22"/>
          <w:szCs w:val="22"/>
        </w:rPr>
        <w:t xml:space="preserve">have </w:t>
      </w:r>
      <w:r w:rsidRPr="00AF0522">
        <w:rPr>
          <w:rFonts w:ascii="Arial" w:eastAsiaTheme="minorHAnsi" w:hAnsi="Arial" w:cs="Arial"/>
          <w:sz w:val="22"/>
          <w:szCs w:val="22"/>
        </w:rPr>
        <w:t>received Zostavax</w:t>
      </w:r>
      <w:r w:rsidRPr="00AF0522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AF0522">
        <w:rPr>
          <w:rFonts w:ascii="Arial" w:eastAsiaTheme="minorHAnsi" w:hAnsi="Arial" w:cs="Arial"/>
          <w:sz w:val="22"/>
          <w:szCs w:val="22"/>
        </w:rPr>
        <w:t xml:space="preserve"> already, or are not sure if they had chickenpox.</w:t>
      </w:r>
      <w:r w:rsidR="00BF3081" w:rsidRPr="00AF0522">
        <w:rPr>
          <w:rFonts w:ascii="Arial" w:eastAsiaTheme="minorHAnsi" w:hAnsi="Arial" w:cs="Arial"/>
          <w:sz w:val="22"/>
          <w:szCs w:val="22"/>
        </w:rPr>
        <w:t xml:space="preserve"> </w:t>
      </w:r>
    </w:p>
    <w:p w14:paraId="34B3ACCE" w14:textId="77777777" w:rsidR="00AF0522" w:rsidRDefault="00AF0522" w:rsidP="00AF0522">
      <w:pPr>
        <w:pStyle w:val="ListParagraph"/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6BF9216B" w14:textId="039D0DC8" w:rsidR="00AF0522" w:rsidRPr="00055C7D" w:rsidRDefault="00BF3081" w:rsidP="00055C7D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AF0522">
        <w:rPr>
          <w:rFonts w:ascii="Arial" w:eastAsiaTheme="minorHAnsi" w:hAnsi="Arial" w:cs="Arial"/>
          <w:sz w:val="22"/>
          <w:szCs w:val="22"/>
        </w:rPr>
        <w:t>Patient</w:t>
      </w:r>
      <w:r w:rsidR="008A7286" w:rsidRPr="00AF0522">
        <w:rPr>
          <w:rFonts w:ascii="Arial" w:eastAsiaTheme="minorHAnsi" w:hAnsi="Arial" w:cs="Arial"/>
          <w:sz w:val="22"/>
          <w:szCs w:val="22"/>
        </w:rPr>
        <w:t>s</w:t>
      </w:r>
      <w:r w:rsidRPr="00AF0522">
        <w:rPr>
          <w:rFonts w:ascii="Arial" w:eastAsiaTheme="minorHAnsi" w:hAnsi="Arial" w:cs="Arial"/>
          <w:sz w:val="22"/>
          <w:szCs w:val="22"/>
        </w:rPr>
        <w:t xml:space="preserve"> should </w:t>
      </w:r>
      <w:r w:rsidRPr="00AF0522">
        <w:rPr>
          <w:rFonts w:ascii="Arial" w:eastAsiaTheme="minorHAnsi" w:hAnsi="Arial" w:cs="Arial"/>
          <w:b/>
          <w:sz w:val="22"/>
          <w:szCs w:val="22"/>
        </w:rPr>
        <w:t>NOT</w:t>
      </w:r>
      <w:r w:rsidRPr="00AF0522">
        <w:rPr>
          <w:rFonts w:ascii="Arial" w:eastAsiaTheme="minorHAnsi" w:hAnsi="Arial" w:cs="Arial"/>
          <w:sz w:val="22"/>
          <w:szCs w:val="22"/>
        </w:rPr>
        <w:t xml:space="preserve"> receive Shingrix</w:t>
      </w:r>
      <w:r w:rsidRPr="00AF0522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AF0522">
        <w:rPr>
          <w:rFonts w:ascii="Arial" w:eastAsiaTheme="minorHAnsi" w:hAnsi="Arial" w:cs="Arial"/>
          <w:sz w:val="22"/>
          <w:szCs w:val="22"/>
        </w:rPr>
        <w:t xml:space="preserve"> if</w:t>
      </w:r>
      <w:r w:rsidR="00AF0522">
        <w:rPr>
          <w:rFonts w:ascii="Arial" w:eastAsiaTheme="minorHAnsi" w:hAnsi="Arial" w:cs="Arial"/>
          <w:sz w:val="22"/>
          <w:szCs w:val="22"/>
        </w:rPr>
        <w:t>:</w:t>
      </w:r>
    </w:p>
    <w:p w14:paraId="4F83E3C1" w14:textId="77777777" w:rsidR="00AF0522" w:rsidRDefault="00BF3081" w:rsidP="00AF0522">
      <w:pPr>
        <w:pStyle w:val="ListParagraph"/>
        <w:numPr>
          <w:ilvl w:val="1"/>
          <w:numId w:val="39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AF0522">
        <w:rPr>
          <w:rFonts w:ascii="Arial" w:eastAsiaTheme="minorHAnsi" w:hAnsi="Arial" w:cs="Arial"/>
          <w:sz w:val="22"/>
          <w:szCs w:val="22"/>
        </w:rPr>
        <w:t xml:space="preserve">they have had a severe reaction to any component of the vaccine </w:t>
      </w:r>
    </w:p>
    <w:p w14:paraId="11C553E2" w14:textId="77777777" w:rsidR="00AF0522" w:rsidRDefault="00BF3081" w:rsidP="00AF0522">
      <w:pPr>
        <w:pStyle w:val="ListParagraph"/>
        <w:numPr>
          <w:ilvl w:val="1"/>
          <w:numId w:val="39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AF0522">
        <w:rPr>
          <w:rFonts w:ascii="Arial" w:eastAsiaTheme="minorHAnsi" w:hAnsi="Arial" w:cs="Arial"/>
          <w:sz w:val="22"/>
          <w:szCs w:val="22"/>
        </w:rPr>
        <w:t>currently have shingles</w:t>
      </w:r>
    </w:p>
    <w:p w14:paraId="5A2FC6BD" w14:textId="77777777" w:rsidR="00AF0522" w:rsidRDefault="00BF3081" w:rsidP="00037C38">
      <w:pPr>
        <w:pStyle w:val="ListParagraph"/>
        <w:numPr>
          <w:ilvl w:val="1"/>
          <w:numId w:val="39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AF0522">
        <w:rPr>
          <w:rFonts w:ascii="Arial" w:eastAsiaTheme="minorHAnsi" w:hAnsi="Arial" w:cs="Arial"/>
          <w:sz w:val="22"/>
          <w:szCs w:val="22"/>
        </w:rPr>
        <w:t>currently pregnant or breastfeeding</w:t>
      </w:r>
    </w:p>
    <w:p w14:paraId="75E81EFE" w14:textId="77777777" w:rsidR="00037C38" w:rsidRDefault="00037C38" w:rsidP="00037C38">
      <w:pPr>
        <w:pStyle w:val="ListParagraph"/>
        <w:spacing w:after="160" w:line="259" w:lineRule="auto"/>
        <w:ind w:left="1440"/>
        <w:rPr>
          <w:rFonts w:ascii="Arial" w:eastAsiaTheme="minorHAnsi" w:hAnsi="Arial" w:cs="Arial"/>
          <w:sz w:val="22"/>
          <w:szCs w:val="22"/>
        </w:rPr>
      </w:pPr>
    </w:p>
    <w:p w14:paraId="64F9EA69" w14:textId="77777777" w:rsidR="00AF0522" w:rsidRDefault="00085C74" w:rsidP="00AF0522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AF0522">
        <w:rPr>
          <w:rFonts w:ascii="Arial" w:eastAsiaTheme="minorHAnsi" w:hAnsi="Arial" w:cs="Arial"/>
          <w:sz w:val="22"/>
          <w:szCs w:val="22"/>
        </w:rPr>
        <w:t>Patients who have had Shingles disease should receive the Shingrix</w:t>
      </w:r>
      <w:r w:rsidRPr="00AF0522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AF0522">
        <w:rPr>
          <w:rFonts w:ascii="Arial" w:eastAsiaTheme="minorHAnsi" w:hAnsi="Arial" w:cs="Arial"/>
          <w:sz w:val="22"/>
          <w:szCs w:val="22"/>
        </w:rPr>
        <w:t xml:space="preserve"> vaccine series if they otherwise qualify. However, these patients should wait at least 6 months after resolution of the disease prior to receiving the Shingrix</w:t>
      </w:r>
      <w:r w:rsidRPr="00AF0522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AF0522">
        <w:rPr>
          <w:rFonts w:ascii="Arial" w:eastAsiaTheme="minorHAnsi" w:hAnsi="Arial" w:cs="Arial"/>
          <w:sz w:val="22"/>
          <w:szCs w:val="22"/>
        </w:rPr>
        <w:t xml:space="preserve"> vaccine</w:t>
      </w:r>
    </w:p>
    <w:p w14:paraId="62A2ACF6" w14:textId="77777777" w:rsidR="00AF0522" w:rsidRDefault="00AF0522" w:rsidP="00AF0522">
      <w:pPr>
        <w:pStyle w:val="ListParagraph"/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15D24C03" w14:textId="2E39CD3F" w:rsidR="00AF0522" w:rsidRDefault="00085C74" w:rsidP="00AF0522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AF0522">
        <w:rPr>
          <w:rFonts w:ascii="Arial" w:eastAsiaTheme="minorHAnsi" w:hAnsi="Arial" w:cs="Arial"/>
          <w:sz w:val="22"/>
          <w:szCs w:val="22"/>
        </w:rPr>
        <w:t xml:space="preserve">Patients should </w:t>
      </w:r>
      <w:r w:rsidRPr="003A7E8F">
        <w:rPr>
          <w:rFonts w:ascii="Arial" w:eastAsiaTheme="minorHAnsi" w:hAnsi="Arial" w:cs="Arial"/>
          <w:b/>
          <w:bCs/>
          <w:sz w:val="22"/>
          <w:szCs w:val="22"/>
        </w:rPr>
        <w:t>not</w:t>
      </w:r>
      <w:r w:rsidRPr="00AF0522">
        <w:rPr>
          <w:rFonts w:ascii="Arial" w:eastAsiaTheme="minorHAnsi" w:hAnsi="Arial" w:cs="Arial"/>
          <w:sz w:val="22"/>
          <w:szCs w:val="22"/>
        </w:rPr>
        <w:t xml:space="preserve"> receive</w:t>
      </w:r>
      <w:r w:rsidRPr="00AF0522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AF0522">
        <w:rPr>
          <w:rFonts w:ascii="Arial" w:eastAsiaTheme="minorHAnsi" w:hAnsi="Arial" w:cs="Arial"/>
          <w:sz w:val="22"/>
          <w:szCs w:val="22"/>
        </w:rPr>
        <w:t>Shingrix</w:t>
      </w:r>
      <w:r w:rsidRPr="00AF0522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AF0522">
        <w:rPr>
          <w:rFonts w:ascii="Arial" w:eastAsiaTheme="minorHAnsi" w:hAnsi="Arial" w:cs="Arial"/>
          <w:sz w:val="22"/>
          <w:szCs w:val="22"/>
        </w:rPr>
        <w:t xml:space="preserve"> and </w:t>
      </w:r>
      <w:proofErr w:type="spellStart"/>
      <w:r w:rsidRPr="00AF0522">
        <w:rPr>
          <w:rFonts w:ascii="Arial" w:eastAsiaTheme="minorHAnsi" w:hAnsi="Arial" w:cs="Arial"/>
          <w:sz w:val="22"/>
          <w:szCs w:val="22"/>
        </w:rPr>
        <w:t>Heplisav</w:t>
      </w:r>
      <w:proofErr w:type="spellEnd"/>
      <w:r w:rsidRPr="00AF0522">
        <w:rPr>
          <w:rFonts w:ascii="Arial" w:eastAsiaTheme="minorHAnsi" w:hAnsi="Arial" w:cs="Arial"/>
          <w:sz w:val="22"/>
          <w:szCs w:val="22"/>
        </w:rPr>
        <w:t>-B</w:t>
      </w:r>
      <w:r w:rsidRPr="00AF0522">
        <w:rPr>
          <w:rFonts w:ascii="Arial" w:eastAsiaTheme="minorHAnsi" w:hAnsi="Arial" w:cs="Arial"/>
          <w:sz w:val="22"/>
          <w:szCs w:val="22"/>
          <w:vertAlign w:val="superscript"/>
        </w:rPr>
        <w:t xml:space="preserve">® </w:t>
      </w:r>
      <w:r w:rsidR="00E05DA4" w:rsidRPr="00AF0522">
        <w:rPr>
          <w:rFonts w:ascii="Arial" w:eastAsiaTheme="minorHAnsi" w:hAnsi="Arial" w:cs="Arial"/>
          <w:sz w:val="22"/>
          <w:szCs w:val="22"/>
        </w:rPr>
        <w:t xml:space="preserve">or </w:t>
      </w:r>
      <w:proofErr w:type="spellStart"/>
      <w:r w:rsidR="00E05DA4" w:rsidRPr="00AF0522">
        <w:rPr>
          <w:rFonts w:ascii="Arial" w:eastAsiaTheme="minorHAnsi" w:hAnsi="Arial" w:cs="Arial"/>
          <w:sz w:val="22"/>
          <w:szCs w:val="22"/>
        </w:rPr>
        <w:t>Fluad</w:t>
      </w:r>
      <w:proofErr w:type="spellEnd"/>
      <w:r w:rsidR="00E05DA4" w:rsidRPr="00AF0522">
        <w:rPr>
          <w:rFonts w:ascii="Arial" w:eastAsiaTheme="minorHAnsi" w:hAnsi="Arial" w:cs="Arial"/>
          <w:sz w:val="22"/>
          <w:szCs w:val="22"/>
          <w:vertAlign w:val="superscript"/>
        </w:rPr>
        <w:t xml:space="preserve">® </w:t>
      </w:r>
      <w:r w:rsidRPr="00AF0522">
        <w:rPr>
          <w:rFonts w:ascii="Arial" w:eastAsiaTheme="minorHAnsi" w:hAnsi="Arial" w:cs="Arial"/>
          <w:sz w:val="22"/>
          <w:szCs w:val="22"/>
        </w:rPr>
        <w:t xml:space="preserve">on the same day. </w:t>
      </w:r>
      <w:r w:rsidR="00E05DA4" w:rsidRPr="00AF0522">
        <w:rPr>
          <w:rFonts w:ascii="Arial" w:eastAsiaTheme="minorHAnsi" w:hAnsi="Arial" w:cs="Arial"/>
          <w:sz w:val="22"/>
          <w:szCs w:val="22"/>
        </w:rPr>
        <w:t xml:space="preserve">Patients should wait 4 weeks after receiving </w:t>
      </w:r>
      <w:proofErr w:type="spellStart"/>
      <w:r w:rsidR="00E05DA4" w:rsidRPr="00AF0522">
        <w:rPr>
          <w:rFonts w:ascii="Arial" w:eastAsiaTheme="minorHAnsi" w:hAnsi="Arial" w:cs="Arial"/>
          <w:sz w:val="22"/>
          <w:szCs w:val="22"/>
        </w:rPr>
        <w:t>Heplisav</w:t>
      </w:r>
      <w:proofErr w:type="spellEnd"/>
      <w:r w:rsidR="00E05DA4" w:rsidRPr="00AF0522">
        <w:rPr>
          <w:rFonts w:ascii="Arial" w:eastAsiaTheme="minorHAnsi" w:hAnsi="Arial" w:cs="Arial"/>
          <w:sz w:val="22"/>
          <w:szCs w:val="22"/>
        </w:rPr>
        <w:t>-B</w:t>
      </w:r>
      <w:r w:rsidR="00E05DA4" w:rsidRPr="00AF0522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="00E05DA4" w:rsidRPr="00AF0522">
        <w:rPr>
          <w:rFonts w:ascii="Arial" w:eastAsiaTheme="minorHAnsi" w:hAnsi="Arial" w:cs="Arial"/>
          <w:sz w:val="22"/>
          <w:szCs w:val="22"/>
        </w:rPr>
        <w:t xml:space="preserve"> or </w:t>
      </w:r>
      <w:proofErr w:type="spellStart"/>
      <w:r w:rsidR="00E05DA4" w:rsidRPr="00AF0522">
        <w:rPr>
          <w:rFonts w:ascii="Arial" w:eastAsiaTheme="minorHAnsi" w:hAnsi="Arial" w:cs="Arial"/>
          <w:sz w:val="22"/>
          <w:szCs w:val="22"/>
        </w:rPr>
        <w:t>Fluad</w:t>
      </w:r>
      <w:proofErr w:type="spellEnd"/>
      <w:r w:rsidR="00E05DA4" w:rsidRPr="00AF0522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="00E05DA4" w:rsidRPr="00AF0522">
        <w:rPr>
          <w:rFonts w:ascii="Arial" w:eastAsiaTheme="minorHAnsi" w:hAnsi="Arial" w:cs="Arial"/>
          <w:sz w:val="22"/>
          <w:szCs w:val="22"/>
        </w:rPr>
        <w:t xml:space="preserve"> before receiving Shingrix</w:t>
      </w:r>
      <w:r w:rsidR="00E05DA4" w:rsidRPr="00AF0522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="00E05DA4" w:rsidRPr="00AF0522">
        <w:rPr>
          <w:rFonts w:ascii="Arial" w:eastAsiaTheme="minorHAnsi" w:hAnsi="Arial" w:cs="Arial"/>
          <w:sz w:val="22"/>
          <w:szCs w:val="22"/>
        </w:rPr>
        <w:t>.</w:t>
      </w:r>
    </w:p>
    <w:p w14:paraId="3FBABF1F" w14:textId="77777777" w:rsidR="00AF0522" w:rsidRPr="00AF0522" w:rsidRDefault="00AF0522" w:rsidP="00AF0522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7A42CC4B" w14:textId="77777777" w:rsidR="008C4960" w:rsidRDefault="00085C74" w:rsidP="00AF0522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AF0522">
        <w:rPr>
          <w:rFonts w:ascii="Arial" w:eastAsiaTheme="minorHAnsi" w:hAnsi="Arial" w:cs="Arial"/>
          <w:sz w:val="22"/>
          <w:szCs w:val="22"/>
        </w:rPr>
        <w:t>It is safe to administer other vaccines on the same day as Shingrix</w:t>
      </w:r>
      <w:r w:rsidRPr="00AF0522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AF0522">
        <w:rPr>
          <w:rFonts w:ascii="Arial" w:eastAsiaTheme="minorHAnsi" w:hAnsi="Arial" w:cs="Arial"/>
          <w:sz w:val="22"/>
          <w:szCs w:val="22"/>
        </w:rPr>
        <w:t>, but it is advised to use two different anatomical sites.</w:t>
      </w:r>
    </w:p>
    <w:p w14:paraId="6FA456C0" w14:textId="77777777" w:rsidR="00055C7D" w:rsidRPr="00055C7D" w:rsidRDefault="00055C7D" w:rsidP="00055C7D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0EA0E72F" w14:textId="77777777" w:rsidR="00055C7D" w:rsidRPr="00AF0522" w:rsidRDefault="00055C7D" w:rsidP="00055C7D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055C7D">
        <w:rPr>
          <w:rFonts w:ascii="Arial" w:eastAsiaTheme="minorHAnsi" w:hAnsi="Arial" w:cs="Arial"/>
          <w:sz w:val="22"/>
          <w:szCs w:val="22"/>
        </w:rPr>
        <w:t>The side effects of the Shingrix are temporary and usually last 2 to 3 days. While you may experience pain for a few days after getting Shingrix, the pain will be less severe than having shingles and the complications from the disease.</w:t>
      </w:r>
    </w:p>
    <w:p w14:paraId="4DD1AB0C" w14:textId="77777777" w:rsidR="00AF0522" w:rsidRDefault="0064789B" w:rsidP="00AF052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F0522">
        <w:rPr>
          <w:rFonts w:ascii="Arial" w:hAnsi="Arial" w:cs="Arial"/>
          <w:sz w:val="22"/>
          <w:szCs w:val="22"/>
        </w:rPr>
        <w:t>Pre-Transplant Patients</w:t>
      </w:r>
      <w:r w:rsidR="00AC4BB7" w:rsidRPr="00AF0522">
        <w:rPr>
          <w:rFonts w:ascii="Arial" w:hAnsi="Arial" w:cs="Arial"/>
          <w:sz w:val="22"/>
          <w:szCs w:val="22"/>
        </w:rPr>
        <w:t>:</w:t>
      </w:r>
    </w:p>
    <w:p w14:paraId="7F9BD54E" w14:textId="28B8EA8C" w:rsidR="00AF0522" w:rsidRPr="00AF0522" w:rsidRDefault="00AC4BB7" w:rsidP="00AF0522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7A38B61">
        <w:rPr>
          <w:rFonts w:ascii="Arial" w:hAnsi="Arial" w:cs="Arial"/>
          <w:sz w:val="22"/>
          <w:szCs w:val="22"/>
        </w:rPr>
        <w:t>Shingrix</w:t>
      </w:r>
      <w:r w:rsidRPr="07A38B61">
        <w:rPr>
          <w:rFonts w:ascii="Arial" w:hAnsi="Arial" w:cs="Arial"/>
          <w:sz w:val="22"/>
          <w:szCs w:val="22"/>
          <w:vertAlign w:val="superscript"/>
        </w:rPr>
        <w:t>®</w:t>
      </w:r>
      <w:r w:rsidRPr="07A38B61">
        <w:rPr>
          <w:rFonts w:ascii="Arial" w:hAnsi="Arial" w:cs="Arial"/>
          <w:sz w:val="22"/>
          <w:szCs w:val="22"/>
        </w:rPr>
        <w:t xml:space="preserve"> is </w:t>
      </w:r>
      <w:r w:rsidR="00085C74" w:rsidRPr="07A38B61">
        <w:rPr>
          <w:rFonts w:ascii="Arial" w:hAnsi="Arial" w:cs="Arial"/>
          <w:sz w:val="22"/>
          <w:szCs w:val="22"/>
        </w:rPr>
        <w:t xml:space="preserve">recommended for </w:t>
      </w:r>
      <w:r w:rsidR="008F6437" w:rsidRPr="07A38B61">
        <w:rPr>
          <w:rFonts w:ascii="Arial" w:hAnsi="Arial" w:cs="Arial"/>
          <w:sz w:val="22"/>
          <w:szCs w:val="22"/>
        </w:rPr>
        <w:t xml:space="preserve">patients </w:t>
      </w:r>
      <w:r w:rsidR="00085C74" w:rsidRPr="07A38B61">
        <w:rPr>
          <w:rFonts w:ascii="Arial" w:hAnsi="Arial" w:cs="Arial"/>
          <w:sz w:val="22"/>
          <w:szCs w:val="22"/>
        </w:rPr>
        <w:t xml:space="preserve">age </w:t>
      </w:r>
      <w:r w:rsidR="00013C86" w:rsidRPr="07A38B61">
        <w:rPr>
          <w:rFonts w:ascii="Arial" w:hAnsi="Arial" w:cs="Arial"/>
          <w:sz w:val="22"/>
          <w:szCs w:val="22"/>
        </w:rPr>
        <w:t xml:space="preserve">19 </w:t>
      </w:r>
      <w:r w:rsidR="00085C74" w:rsidRPr="07A38B61">
        <w:rPr>
          <w:rFonts w:ascii="Arial" w:hAnsi="Arial" w:cs="Arial"/>
          <w:sz w:val="22"/>
          <w:szCs w:val="22"/>
        </w:rPr>
        <w:t xml:space="preserve">years or older who are being </w:t>
      </w:r>
      <w:r w:rsidR="73EDC216" w:rsidRPr="07A38B61">
        <w:rPr>
          <w:rFonts w:ascii="Arial" w:hAnsi="Arial" w:cs="Arial"/>
          <w:sz w:val="22"/>
          <w:szCs w:val="22"/>
        </w:rPr>
        <w:t>listed</w:t>
      </w:r>
      <w:r w:rsidR="00085C74" w:rsidRPr="07A38B61">
        <w:rPr>
          <w:rFonts w:ascii="Arial" w:hAnsi="Arial" w:cs="Arial"/>
          <w:sz w:val="22"/>
          <w:szCs w:val="22"/>
        </w:rPr>
        <w:t xml:space="preserve"> for a solid organ transplant</w:t>
      </w:r>
      <w:r w:rsidR="00037C38" w:rsidRPr="07A38B61">
        <w:rPr>
          <w:rFonts w:ascii="Arial" w:hAnsi="Arial" w:cs="Arial"/>
          <w:sz w:val="22"/>
          <w:szCs w:val="22"/>
        </w:rPr>
        <w:t>.</w:t>
      </w:r>
    </w:p>
    <w:p w14:paraId="18530B66" w14:textId="77777777" w:rsidR="00AF0522" w:rsidRDefault="00A576CF" w:rsidP="00AF0522">
      <w:pPr>
        <w:rPr>
          <w:rFonts w:ascii="Arial" w:eastAsiaTheme="minorHAnsi" w:hAnsi="Arial" w:cs="Arial"/>
          <w:sz w:val="22"/>
          <w:szCs w:val="22"/>
        </w:rPr>
      </w:pPr>
      <w:r w:rsidRPr="00AF0522">
        <w:rPr>
          <w:rFonts w:ascii="Arial" w:eastAsiaTheme="minorHAnsi" w:hAnsi="Arial" w:cs="Arial"/>
          <w:sz w:val="22"/>
          <w:szCs w:val="22"/>
        </w:rPr>
        <w:t>Post-Transplant Patients:</w:t>
      </w:r>
    </w:p>
    <w:p w14:paraId="44E8F77C" w14:textId="77777777" w:rsidR="00AF0522" w:rsidRPr="00AF0522" w:rsidRDefault="00AF0522" w:rsidP="00AF0522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02131C90" w14:textId="0E54744A" w:rsidR="00AF0522" w:rsidRPr="00AF0522" w:rsidRDefault="00A576CF" w:rsidP="00AF0522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F0522">
        <w:rPr>
          <w:rFonts w:ascii="Arial" w:eastAsiaTheme="minorHAnsi" w:hAnsi="Arial" w:cs="Arial"/>
          <w:sz w:val="22"/>
          <w:szCs w:val="22"/>
        </w:rPr>
        <w:t>All patients</w:t>
      </w:r>
      <w:r w:rsidR="00C56C6B" w:rsidRPr="00AF0522">
        <w:rPr>
          <w:rFonts w:ascii="Arial" w:eastAsiaTheme="minorHAnsi" w:hAnsi="Arial" w:cs="Arial"/>
          <w:sz w:val="22"/>
          <w:szCs w:val="22"/>
        </w:rPr>
        <w:t xml:space="preserve"> aged </w:t>
      </w:r>
      <w:r w:rsidR="00013C86">
        <w:rPr>
          <w:rFonts w:ascii="Arial" w:eastAsiaTheme="minorHAnsi" w:hAnsi="Arial" w:cs="Arial"/>
          <w:sz w:val="22"/>
          <w:szCs w:val="22"/>
        </w:rPr>
        <w:t>19</w:t>
      </w:r>
      <w:r w:rsidR="00013C86" w:rsidRPr="00AF0522">
        <w:rPr>
          <w:rFonts w:ascii="Arial" w:eastAsiaTheme="minorHAnsi" w:hAnsi="Arial" w:cs="Arial"/>
          <w:sz w:val="22"/>
          <w:szCs w:val="22"/>
        </w:rPr>
        <w:t xml:space="preserve"> </w:t>
      </w:r>
      <w:r w:rsidR="00C56C6B" w:rsidRPr="00AF0522">
        <w:rPr>
          <w:rFonts w:ascii="Arial" w:eastAsiaTheme="minorHAnsi" w:hAnsi="Arial" w:cs="Arial"/>
          <w:sz w:val="22"/>
          <w:szCs w:val="22"/>
        </w:rPr>
        <w:t>years and older who are</w:t>
      </w:r>
      <w:r w:rsidRPr="00AF0522">
        <w:rPr>
          <w:rFonts w:ascii="Arial" w:eastAsiaTheme="minorHAnsi" w:hAnsi="Arial" w:cs="Arial"/>
          <w:sz w:val="22"/>
          <w:szCs w:val="22"/>
        </w:rPr>
        <w:t xml:space="preserve"> ≥ </w:t>
      </w:r>
      <w:r w:rsidR="00085C74" w:rsidRPr="00AF0522">
        <w:rPr>
          <w:rFonts w:ascii="Arial" w:eastAsiaTheme="minorHAnsi" w:hAnsi="Arial" w:cs="Arial"/>
          <w:sz w:val="22"/>
          <w:szCs w:val="22"/>
        </w:rPr>
        <w:t>6</w:t>
      </w:r>
      <w:r w:rsidRPr="00AF0522">
        <w:rPr>
          <w:rFonts w:ascii="Arial" w:eastAsiaTheme="minorHAnsi" w:hAnsi="Arial" w:cs="Arial"/>
          <w:sz w:val="22"/>
          <w:szCs w:val="22"/>
        </w:rPr>
        <w:t xml:space="preserve"> months post</w:t>
      </w:r>
      <w:r w:rsidR="00D73694" w:rsidRPr="00AF0522">
        <w:rPr>
          <w:rFonts w:ascii="Arial" w:eastAsiaTheme="minorHAnsi" w:hAnsi="Arial" w:cs="Arial"/>
          <w:sz w:val="22"/>
          <w:szCs w:val="22"/>
        </w:rPr>
        <w:t>-</w:t>
      </w:r>
      <w:r w:rsidRPr="00AF0522">
        <w:rPr>
          <w:rFonts w:ascii="Arial" w:eastAsiaTheme="minorHAnsi" w:hAnsi="Arial" w:cs="Arial"/>
          <w:sz w:val="22"/>
          <w:szCs w:val="22"/>
        </w:rPr>
        <w:t>transplant</w:t>
      </w:r>
      <w:r w:rsidR="008D476A" w:rsidRPr="00AF0522">
        <w:rPr>
          <w:rFonts w:ascii="Arial" w:eastAsiaTheme="minorHAnsi" w:hAnsi="Arial" w:cs="Arial"/>
          <w:sz w:val="22"/>
          <w:szCs w:val="22"/>
        </w:rPr>
        <w:t xml:space="preserve"> are encouraged to </w:t>
      </w:r>
      <w:r w:rsidRPr="00AF0522">
        <w:rPr>
          <w:rFonts w:ascii="Arial" w:eastAsiaTheme="minorHAnsi" w:hAnsi="Arial" w:cs="Arial"/>
          <w:sz w:val="22"/>
          <w:szCs w:val="22"/>
        </w:rPr>
        <w:t xml:space="preserve">receive </w:t>
      </w:r>
      <w:r w:rsidR="00C56C6B" w:rsidRPr="00AF0522">
        <w:rPr>
          <w:rFonts w:ascii="Arial" w:eastAsiaTheme="minorHAnsi" w:hAnsi="Arial" w:cs="Arial"/>
          <w:sz w:val="22"/>
          <w:szCs w:val="22"/>
        </w:rPr>
        <w:t>the Shingrix</w:t>
      </w:r>
      <w:r w:rsidR="00C56C6B" w:rsidRPr="00AF0522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="00C56C6B" w:rsidRPr="00AF0522">
        <w:rPr>
          <w:rFonts w:ascii="Arial" w:eastAsiaTheme="minorHAnsi" w:hAnsi="Arial" w:cs="Arial"/>
          <w:sz w:val="22"/>
          <w:szCs w:val="22"/>
        </w:rPr>
        <w:t xml:space="preserve"> vaccine.</w:t>
      </w:r>
      <w:r w:rsidRPr="00AF0522">
        <w:rPr>
          <w:rFonts w:ascii="Arial" w:eastAsiaTheme="minorHAnsi" w:hAnsi="Arial" w:cs="Arial"/>
          <w:sz w:val="22"/>
          <w:szCs w:val="22"/>
        </w:rPr>
        <w:t xml:space="preserve"> </w:t>
      </w:r>
    </w:p>
    <w:p w14:paraId="323B7A4F" w14:textId="260FD16D" w:rsidR="009478B9" w:rsidRPr="00AF0522" w:rsidRDefault="00AC4BB7" w:rsidP="00AF0522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F0522">
        <w:rPr>
          <w:rFonts w:ascii="Arial" w:eastAsiaTheme="minorHAnsi" w:hAnsi="Arial" w:cs="Arial"/>
          <w:sz w:val="22"/>
          <w:szCs w:val="22"/>
        </w:rPr>
        <w:t>All patients treated for rejection should wait until 3 months after treatment to receive the Shingrix</w:t>
      </w:r>
      <w:r w:rsidRPr="00AF0522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AF0522">
        <w:rPr>
          <w:rFonts w:ascii="Arial" w:eastAsiaTheme="minorHAnsi" w:hAnsi="Arial" w:cs="Arial"/>
          <w:sz w:val="22"/>
          <w:szCs w:val="22"/>
        </w:rPr>
        <w:t xml:space="preserve"> vaccine series.</w:t>
      </w:r>
    </w:p>
    <w:p w14:paraId="2ECFF2CF" w14:textId="77777777" w:rsidR="006F1E72" w:rsidRPr="00120DE3" w:rsidRDefault="006F1E72" w:rsidP="00D82ADA">
      <w:pPr>
        <w:rPr>
          <w:rFonts w:ascii="Arial" w:hAnsi="Arial" w:cs="Arial"/>
        </w:rPr>
      </w:pPr>
    </w:p>
    <w:p w14:paraId="7AA2ABF6" w14:textId="77777777" w:rsidR="00A973EE" w:rsidRDefault="00A973EE" w:rsidP="00D82ADA">
      <w:pPr>
        <w:rPr>
          <w:rFonts w:ascii="Arial" w:hAnsi="Arial" w:cs="Arial"/>
          <w:b/>
          <w:u w:val="single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4DAC087C" w14:textId="77777777" w:rsidR="007145C9" w:rsidRPr="00AF0522" w:rsidRDefault="007145C9" w:rsidP="00AF0522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7145C9">
        <w:rPr>
          <w:rFonts w:ascii="Arial" w:eastAsiaTheme="minorHAnsi" w:hAnsi="Arial" w:cs="Arial"/>
          <w:color w:val="000000"/>
          <w:sz w:val="22"/>
          <w:szCs w:val="22"/>
        </w:rPr>
        <w:t>www.cdc.gov/vaccines/</w:t>
      </w:r>
      <w:r w:rsidR="00A23512">
        <w:rPr>
          <w:rFonts w:ascii="Arial" w:eastAsiaTheme="minorHAnsi" w:hAnsi="Arial" w:cs="Arial"/>
          <w:color w:val="000000"/>
          <w:sz w:val="22"/>
          <w:szCs w:val="22"/>
        </w:rPr>
        <w:t>vpd/shingles/public/shingrix/</w:t>
      </w:r>
    </w:p>
    <w:sectPr w:rsidR="007145C9" w:rsidRPr="00AF0522" w:rsidSect="00D82AD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F561" w14:textId="77777777" w:rsidR="00FE014C" w:rsidRDefault="00FE014C" w:rsidP="00401E3E">
      <w:r>
        <w:separator/>
      </w:r>
    </w:p>
  </w:endnote>
  <w:endnote w:type="continuationSeparator" w:id="0">
    <w:p w14:paraId="4377A6AD" w14:textId="77777777" w:rsidR="00FE014C" w:rsidRDefault="00FE014C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DF6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493395C2" w14:textId="77777777" w:rsidR="00480796" w:rsidRPr="00246CC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Title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055C7D"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055C7D"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3B49" w14:textId="77777777" w:rsidR="00FE014C" w:rsidRDefault="00FE014C" w:rsidP="00401E3E">
      <w:r>
        <w:separator/>
      </w:r>
    </w:p>
  </w:footnote>
  <w:footnote w:type="continuationSeparator" w:id="0">
    <w:p w14:paraId="065D502E" w14:textId="77777777" w:rsidR="00FE014C" w:rsidRDefault="00FE014C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735A" w14:textId="77777777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514D7D0F" wp14:editId="24C383B7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D93103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6E064"/>
    <w:multiLevelType w:val="hybridMultilevel"/>
    <w:tmpl w:val="F31AF18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8E5"/>
    <w:multiLevelType w:val="hybridMultilevel"/>
    <w:tmpl w:val="2AA0A7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3D48B0"/>
    <w:multiLevelType w:val="hybridMultilevel"/>
    <w:tmpl w:val="EAC8794A"/>
    <w:lvl w:ilvl="0" w:tplc="EBE2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6749"/>
    <w:multiLevelType w:val="hybridMultilevel"/>
    <w:tmpl w:val="5B2C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290A"/>
    <w:multiLevelType w:val="hybridMultilevel"/>
    <w:tmpl w:val="7C34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C1A90">
      <w:start w:val="5"/>
      <w:numFmt w:val="bullet"/>
      <w:lvlText w:val="•"/>
      <w:lvlJc w:val="left"/>
      <w:pPr>
        <w:ind w:left="1440" w:hanging="360"/>
      </w:pPr>
      <w:rPr>
        <w:rFonts w:ascii="Myriad Pro" w:eastAsiaTheme="minorHAnsi" w:hAnsi="Myriad Pro" w:cs="Myriad Pr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5E06"/>
    <w:multiLevelType w:val="hybridMultilevel"/>
    <w:tmpl w:val="BFD4C3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6A9D"/>
    <w:multiLevelType w:val="hybridMultilevel"/>
    <w:tmpl w:val="FC00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2908"/>
    <w:multiLevelType w:val="hybridMultilevel"/>
    <w:tmpl w:val="A9D27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1457"/>
    <w:multiLevelType w:val="hybridMultilevel"/>
    <w:tmpl w:val="59C8D47A"/>
    <w:lvl w:ilvl="0" w:tplc="F60A8D6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1500573"/>
    <w:multiLevelType w:val="hybridMultilevel"/>
    <w:tmpl w:val="9D462E08"/>
    <w:lvl w:ilvl="0" w:tplc="6664669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55D28"/>
    <w:multiLevelType w:val="hybridMultilevel"/>
    <w:tmpl w:val="416650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65991"/>
    <w:multiLevelType w:val="hybridMultilevel"/>
    <w:tmpl w:val="F996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82361"/>
    <w:multiLevelType w:val="hybridMultilevel"/>
    <w:tmpl w:val="05C0DA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A6B28"/>
    <w:multiLevelType w:val="hybridMultilevel"/>
    <w:tmpl w:val="47EC973C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7EB3740"/>
    <w:multiLevelType w:val="hybridMultilevel"/>
    <w:tmpl w:val="8026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26AE"/>
    <w:multiLevelType w:val="hybridMultilevel"/>
    <w:tmpl w:val="4246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C1469"/>
    <w:multiLevelType w:val="hybridMultilevel"/>
    <w:tmpl w:val="7E2CBAC8"/>
    <w:lvl w:ilvl="0" w:tplc="EBE2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835A0"/>
    <w:multiLevelType w:val="hybridMultilevel"/>
    <w:tmpl w:val="F396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6EA8"/>
    <w:multiLevelType w:val="hybridMultilevel"/>
    <w:tmpl w:val="EAC8794A"/>
    <w:lvl w:ilvl="0" w:tplc="EBE2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5438D"/>
    <w:multiLevelType w:val="hybridMultilevel"/>
    <w:tmpl w:val="960246BE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9CA673D"/>
    <w:multiLevelType w:val="hybridMultilevel"/>
    <w:tmpl w:val="AFA6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648EE"/>
    <w:multiLevelType w:val="hybridMultilevel"/>
    <w:tmpl w:val="F4E22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402A1"/>
    <w:multiLevelType w:val="hybridMultilevel"/>
    <w:tmpl w:val="7DFA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63E1"/>
    <w:multiLevelType w:val="hybridMultilevel"/>
    <w:tmpl w:val="D60C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7127E"/>
    <w:multiLevelType w:val="hybridMultilevel"/>
    <w:tmpl w:val="5D6E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81EC6"/>
    <w:multiLevelType w:val="hybridMultilevel"/>
    <w:tmpl w:val="85F2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21712"/>
    <w:multiLevelType w:val="hybridMultilevel"/>
    <w:tmpl w:val="BEF2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8"/>
  </w:num>
  <w:num w:numId="4">
    <w:abstractNumId w:val="7"/>
  </w:num>
  <w:num w:numId="5">
    <w:abstractNumId w:val="39"/>
  </w:num>
  <w:num w:numId="6">
    <w:abstractNumId w:val="10"/>
  </w:num>
  <w:num w:numId="7">
    <w:abstractNumId w:val="18"/>
  </w:num>
  <w:num w:numId="8">
    <w:abstractNumId w:val="31"/>
  </w:num>
  <w:num w:numId="9">
    <w:abstractNumId w:val="38"/>
  </w:num>
  <w:num w:numId="10">
    <w:abstractNumId w:val="34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4"/>
  </w:num>
  <w:num w:numId="16">
    <w:abstractNumId w:val="30"/>
  </w:num>
  <w:num w:numId="17">
    <w:abstractNumId w:val="4"/>
  </w:num>
  <w:num w:numId="18">
    <w:abstractNumId w:val="9"/>
  </w:num>
  <w:num w:numId="19">
    <w:abstractNumId w:val="27"/>
  </w:num>
  <w:num w:numId="20">
    <w:abstractNumId w:val="29"/>
  </w:num>
  <w:num w:numId="21">
    <w:abstractNumId w:val="6"/>
  </w:num>
  <w:num w:numId="22">
    <w:abstractNumId w:val="26"/>
  </w:num>
  <w:num w:numId="23">
    <w:abstractNumId w:val="2"/>
  </w:num>
  <w:num w:numId="24">
    <w:abstractNumId w:val="11"/>
  </w:num>
  <w:num w:numId="25">
    <w:abstractNumId w:val="5"/>
  </w:num>
  <w:num w:numId="26">
    <w:abstractNumId w:val="0"/>
  </w:num>
  <w:num w:numId="27">
    <w:abstractNumId w:val="19"/>
  </w:num>
  <w:num w:numId="28">
    <w:abstractNumId w:val="37"/>
  </w:num>
  <w:num w:numId="29">
    <w:abstractNumId w:val="23"/>
  </w:num>
  <w:num w:numId="30">
    <w:abstractNumId w:val="20"/>
  </w:num>
  <w:num w:numId="31">
    <w:abstractNumId w:val="28"/>
  </w:num>
  <w:num w:numId="32">
    <w:abstractNumId w:val="22"/>
  </w:num>
  <w:num w:numId="33">
    <w:abstractNumId w:val="17"/>
  </w:num>
  <w:num w:numId="34">
    <w:abstractNumId w:val="24"/>
  </w:num>
  <w:num w:numId="35">
    <w:abstractNumId w:val="13"/>
  </w:num>
  <w:num w:numId="36">
    <w:abstractNumId w:val="3"/>
  </w:num>
  <w:num w:numId="37">
    <w:abstractNumId w:val="25"/>
  </w:num>
  <w:num w:numId="38">
    <w:abstractNumId w:val="33"/>
  </w:num>
  <w:num w:numId="39">
    <w:abstractNumId w:val="35"/>
  </w:num>
  <w:num w:numId="40">
    <w:abstractNumId w:val="3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13C86"/>
    <w:rsid w:val="00023D62"/>
    <w:rsid w:val="00037C38"/>
    <w:rsid w:val="000402D1"/>
    <w:rsid w:val="00045E70"/>
    <w:rsid w:val="00055C7D"/>
    <w:rsid w:val="00061A36"/>
    <w:rsid w:val="0007395E"/>
    <w:rsid w:val="00085C74"/>
    <w:rsid w:val="0008689D"/>
    <w:rsid w:val="000A1B57"/>
    <w:rsid w:val="000B2B8C"/>
    <w:rsid w:val="000C5CA1"/>
    <w:rsid w:val="000E6894"/>
    <w:rsid w:val="000E7E6C"/>
    <w:rsid w:val="000F530B"/>
    <w:rsid w:val="00120302"/>
    <w:rsid w:val="00120DE3"/>
    <w:rsid w:val="00132810"/>
    <w:rsid w:val="00150BDD"/>
    <w:rsid w:val="001644D7"/>
    <w:rsid w:val="001713CF"/>
    <w:rsid w:val="001809A6"/>
    <w:rsid w:val="0018574A"/>
    <w:rsid w:val="001864B9"/>
    <w:rsid w:val="0019168D"/>
    <w:rsid w:val="001921CD"/>
    <w:rsid w:val="001C53F2"/>
    <w:rsid w:val="001F3959"/>
    <w:rsid w:val="001F57BC"/>
    <w:rsid w:val="00214A4F"/>
    <w:rsid w:val="00233309"/>
    <w:rsid w:val="00246CC9"/>
    <w:rsid w:val="0025127C"/>
    <w:rsid w:val="00256706"/>
    <w:rsid w:val="002748A1"/>
    <w:rsid w:val="002A38B8"/>
    <w:rsid w:val="002D108E"/>
    <w:rsid w:val="002E25F5"/>
    <w:rsid w:val="002E271B"/>
    <w:rsid w:val="002F6E47"/>
    <w:rsid w:val="0030754A"/>
    <w:rsid w:val="00333E04"/>
    <w:rsid w:val="00336321"/>
    <w:rsid w:val="00382155"/>
    <w:rsid w:val="00393227"/>
    <w:rsid w:val="00397E13"/>
    <w:rsid w:val="003A4628"/>
    <w:rsid w:val="003A7E8F"/>
    <w:rsid w:val="003B5761"/>
    <w:rsid w:val="003B7ECF"/>
    <w:rsid w:val="003C28C8"/>
    <w:rsid w:val="003C503D"/>
    <w:rsid w:val="003E6AFD"/>
    <w:rsid w:val="00401E3E"/>
    <w:rsid w:val="004126E0"/>
    <w:rsid w:val="00416761"/>
    <w:rsid w:val="00416B26"/>
    <w:rsid w:val="00480796"/>
    <w:rsid w:val="0049040C"/>
    <w:rsid w:val="004A0ADC"/>
    <w:rsid w:val="004B1E9F"/>
    <w:rsid w:val="004B4F03"/>
    <w:rsid w:val="004C0BC9"/>
    <w:rsid w:val="00516594"/>
    <w:rsid w:val="00543B76"/>
    <w:rsid w:val="00545B2B"/>
    <w:rsid w:val="0055380E"/>
    <w:rsid w:val="00576F37"/>
    <w:rsid w:val="005819A1"/>
    <w:rsid w:val="00583551"/>
    <w:rsid w:val="00590D17"/>
    <w:rsid w:val="005927AC"/>
    <w:rsid w:val="005B5862"/>
    <w:rsid w:val="005E39CF"/>
    <w:rsid w:val="00603A28"/>
    <w:rsid w:val="00614208"/>
    <w:rsid w:val="00614AEB"/>
    <w:rsid w:val="00616623"/>
    <w:rsid w:val="00630B38"/>
    <w:rsid w:val="00633FB9"/>
    <w:rsid w:val="0064789B"/>
    <w:rsid w:val="006607D6"/>
    <w:rsid w:val="006A3A93"/>
    <w:rsid w:val="006D430A"/>
    <w:rsid w:val="006E1DF5"/>
    <w:rsid w:val="006E2CC2"/>
    <w:rsid w:val="006E6386"/>
    <w:rsid w:val="006E75BD"/>
    <w:rsid w:val="006F1E72"/>
    <w:rsid w:val="006F63C5"/>
    <w:rsid w:val="00711A54"/>
    <w:rsid w:val="00713C08"/>
    <w:rsid w:val="007145C9"/>
    <w:rsid w:val="00715B6F"/>
    <w:rsid w:val="007169DA"/>
    <w:rsid w:val="00734CC6"/>
    <w:rsid w:val="00737CE0"/>
    <w:rsid w:val="00753801"/>
    <w:rsid w:val="00757FDD"/>
    <w:rsid w:val="00760338"/>
    <w:rsid w:val="0078403E"/>
    <w:rsid w:val="0079159D"/>
    <w:rsid w:val="007D511F"/>
    <w:rsid w:val="00806ACC"/>
    <w:rsid w:val="00814D3F"/>
    <w:rsid w:val="00820718"/>
    <w:rsid w:val="008241EB"/>
    <w:rsid w:val="00852000"/>
    <w:rsid w:val="00857CE9"/>
    <w:rsid w:val="00875DA7"/>
    <w:rsid w:val="00880006"/>
    <w:rsid w:val="0089061D"/>
    <w:rsid w:val="00891C08"/>
    <w:rsid w:val="008A7286"/>
    <w:rsid w:val="008C4960"/>
    <w:rsid w:val="008D476A"/>
    <w:rsid w:val="008D7768"/>
    <w:rsid w:val="008E6DE7"/>
    <w:rsid w:val="008F6437"/>
    <w:rsid w:val="009006C3"/>
    <w:rsid w:val="009478B9"/>
    <w:rsid w:val="009604D2"/>
    <w:rsid w:val="00960D54"/>
    <w:rsid w:val="00963E08"/>
    <w:rsid w:val="0096739A"/>
    <w:rsid w:val="009A336F"/>
    <w:rsid w:val="009A7A51"/>
    <w:rsid w:val="009F5419"/>
    <w:rsid w:val="00A03BB9"/>
    <w:rsid w:val="00A23512"/>
    <w:rsid w:val="00A37CE8"/>
    <w:rsid w:val="00A525FA"/>
    <w:rsid w:val="00A52F5D"/>
    <w:rsid w:val="00A53387"/>
    <w:rsid w:val="00A576CF"/>
    <w:rsid w:val="00A85449"/>
    <w:rsid w:val="00A96893"/>
    <w:rsid w:val="00A973EE"/>
    <w:rsid w:val="00AC4BB7"/>
    <w:rsid w:val="00AD3C1E"/>
    <w:rsid w:val="00AE1A4C"/>
    <w:rsid w:val="00AF0522"/>
    <w:rsid w:val="00B151A5"/>
    <w:rsid w:val="00B31ECB"/>
    <w:rsid w:val="00B33F1F"/>
    <w:rsid w:val="00B51F36"/>
    <w:rsid w:val="00B73833"/>
    <w:rsid w:val="00B84D55"/>
    <w:rsid w:val="00B9554C"/>
    <w:rsid w:val="00BA7CB8"/>
    <w:rsid w:val="00BB723E"/>
    <w:rsid w:val="00BE1C28"/>
    <w:rsid w:val="00BF3039"/>
    <w:rsid w:val="00BF3081"/>
    <w:rsid w:val="00BF3DB6"/>
    <w:rsid w:val="00BF412A"/>
    <w:rsid w:val="00C05CA7"/>
    <w:rsid w:val="00C07430"/>
    <w:rsid w:val="00C30C5D"/>
    <w:rsid w:val="00C56C6B"/>
    <w:rsid w:val="00C769D2"/>
    <w:rsid w:val="00C85AB2"/>
    <w:rsid w:val="00CD30DA"/>
    <w:rsid w:val="00CD6A15"/>
    <w:rsid w:val="00CF3703"/>
    <w:rsid w:val="00CF4D13"/>
    <w:rsid w:val="00D22FE3"/>
    <w:rsid w:val="00D31825"/>
    <w:rsid w:val="00D328E3"/>
    <w:rsid w:val="00D33AA3"/>
    <w:rsid w:val="00D3467A"/>
    <w:rsid w:val="00D653C1"/>
    <w:rsid w:val="00D73694"/>
    <w:rsid w:val="00D77BEA"/>
    <w:rsid w:val="00D82ADA"/>
    <w:rsid w:val="00D877F7"/>
    <w:rsid w:val="00DB0275"/>
    <w:rsid w:val="00DB6E7A"/>
    <w:rsid w:val="00DD03E3"/>
    <w:rsid w:val="00DF0384"/>
    <w:rsid w:val="00DF04E4"/>
    <w:rsid w:val="00DF5DAD"/>
    <w:rsid w:val="00E05DA4"/>
    <w:rsid w:val="00E25614"/>
    <w:rsid w:val="00E34C80"/>
    <w:rsid w:val="00E423C9"/>
    <w:rsid w:val="00E738BE"/>
    <w:rsid w:val="00E90DA4"/>
    <w:rsid w:val="00EB2445"/>
    <w:rsid w:val="00EC0A28"/>
    <w:rsid w:val="00ED23B3"/>
    <w:rsid w:val="00ED776B"/>
    <w:rsid w:val="00EF6564"/>
    <w:rsid w:val="00F25CCE"/>
    <w:rsid w:val="00F31EFD"/>
    <w:rsid w:val="00F42056"/>
    <w:rsid w:val="00F50CD4"/>
    <w:rsid w:val="00F5301C"/>
    <w:rsid w:val="00F63567"/>
    <w:rsid w:val="00F7188F"/>
    <w:rsid w:val="00F747D4"/>
    <w:rsid w:val="00F802BC"/>
    <w:rsid w:val="00F9095C"/>
    <w:rsid w:val="00F93127"/>
    <w:rsid w:val="00FA31CD"/>
    <w:rsid w:val="00FD3D94"/>
    <w:rsid w:val="00FE014C"/>
    <w:rsid w:val="00FF260E"/>
    <w:rsid w:val="00FF4440"/>
    <w:rsid w:val="00FF712F"/>
    <w:rsid w:val="07A38B61"/>
    <w:rsid w:val="73EDC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F656E5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B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uiPriority w:val="99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8219FBB77124DB8B65C2130058793" ma:contentTypeVersion="6" ma:contentTypeDescription="Create a new document." ma:contentTypeScope="" ma:versionID="3ee5795c843e24b5a9f4ca4a594ed61d">
  <xsd:schema xmlns:xsd="http://www.w3.org/2001/XMLSchema" xmlns:xs="http://www.w3.org/2001/XMLSchema" xmlns:p="http://schemas.microsoft.com/office/2006/metadata/properties" xmlns:ns2="c26e0e9c-c4c0-4405-85a9-70f7d010ade3" xmlns:ns3="2d48f852-6c85-4c1d-bafb-56ba6730af9d" targetNamespace="http://schemas.microsoft.com/office/2006/metadata/properties" ma:root="true" ma:fieldsID="e6be4dd533f7e400a29b32e4d4063062" ns2:_="" ns3:_="">
    <xsd:import namespace="c26e0e9c-c4c0-4405-85a9-70f7d010ade3"/>
    <xsd:import namespace="2d48f852-6c85-4c1d-bafb-56ba673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0e9c-c4c0-4405-85a9-70f7d010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f852-6c85-4c1d-bafb-56ba6730a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9B198-D4FC-4957-B38E-44218AEB5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5F64F-36A1-41C4-885F-0E65B24E1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e0e9c-c4c0-4405-85a9-70f7d010ade3"/>
    <ds:schemaRef ds:uri="2d48f852-6c85-4c1d-bafb-56ba673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D0CC2-1EB3-FB49-83AF-525D59CED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B44E46-C734-4E6A-9B08-0D7F65C9C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>Emory Healthcare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Parsons, Ronald F.</cp:lastModifiedBy>
  <cp:revision>2</cp:revision>
  <cp:lastPrinted>2017-08-22T18:23:00Z</cp:lastPrinted>
  <dcterms:created xsi:type="dcterms:W3CDTF">2023-02-01T16:43:00Z</dcterms:created>
  <dcterms:modified xsi:type="dcterms:W3CDTF">2023-02-01T16:43:00Z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0x0101005A78219FBB77124DB8B65C2130058793</vt:lpwstr>
  </property>
</Properties>
</file>