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E19F"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550D8653" w14:textId="43CF5902" w:rsidR="00576F37" w:rsidRPr="00120DE3" w:rsidRDefault="00576F37" w:rsidP="001F3959">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5C0AAB">
              <w:rPr>
                <w:rFonts w:ascii="Arial" w:hAnsi="Arial" w:cs="Arial"/>
              </w:rPr>
              <w:t>Kidney and Pancreas Post-transplant Management of DeNovo Thrombotic Microangiopathy (TMA)</w:t>
            </w: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61AB5272" w:rsidR="00FF712F" w:rsidRDefault="005C0AAB"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6A25BAAA" w:rsidR="00061A36" w:rsidRPr="00A96893" w:rsidRDefault="005C0AAB"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7777777"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680B1C6F"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5C0AAB" w:rsidRPr="00925D40">
              <w:rPr>
                <w:rFonts w:asciiTheme="minorHAnsi" w:hAnsiTheme="minorHAnsi" w:cs="Calibri"/>
              </w:rPr>
              <w:t>10/20/2020</w:t>
            </w:r>
          </w:p>
        </w:tc>
      </w:tr>
    </w:tbl>
    <w:p w14:paraId="3DA472F2" w14:textId="5452C548" w:rsidR="001F3959" w:rsidRPr="003615B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r w:rsidRPr="003615B9">
        <w:rPr>
          <w:rFonts w:ascii="Arial" w:hAnsi="Arial" w:cs="Arial"/>
        </w:rPr>
        <w:t>Diagnostic/Therapeutic/Preventive</w:t>
      </w:r>
    </w:p>
    <w:p w14:paraId="7DF10D58" w14:textId="77777777" w:rsidR="006F1E72" w:rsidRPr="00120DE3" w:rsidRDefault="006F1E72" w:rsidP="00D82ADA">
      <w:pPr>
        <w:rPr>
          <w:rFonts w:ascii="Arial" w:hAnsi="Arial" w:cs="Arial"/>
        </w:rPr>
      </w:pPr>
    </w:p>
    <w:p w14:paraId="6A860210" w14:textId="3BCE0CDB" w:rsidR="001F3959"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Independent</w:t>
      </w:r>
    </w:p>
    <w:p w14:paraId="0E3A2750" w14:textId="77777777" w:rsidR="00C05CA7" w:rsidRDefault="00C05CA7" w:rsidP="00D82ADA">
      <w:pPr>
        <w:rPr>
          <w:rFonts w:ascii="Arial" w:hAnsi="Arial" w:cs="Arial"/>
        </w:rPr>
      </w:pPr>
    </w:p>
    <w:p w14:paraId="24770C05" w14:textId="3B64D57F" w:rsidR="005C0AAB" w:rsidRPr="005C0AAB" w:rsidRDefault="005C0AAB" w:rsidP="005C0AAB">
      <w:pPr>
        <w:rPr>
          <w:rFonts w:ascii="Arial" w:hAnsi="Arial" w:cs="Arial"/>
          <w:b/>
          <w:u w:val="single"/>
        </w:rPr>
      </w:pPr>
      <w:r w:rsidRPr="005C0AAB">
        <w:rPr>
          <w:rFonts w:ascii="Arial" w:hAnsi="Arial" w:cs="Arial"/>
          <w:b/>
          <w:u w:val="single"/>
        </w:rPr>
        <w:t>Definition</w:t>
      </w:r>
    </w:p>
    <w:p w14:paraId="0614E03B" w14:textId="77777777" w:rsidR="005C0AAB" w:rsidRPr="005C0AAB" w:rsidRDefault="005C0AAB" w:rsidP="005C0AAB">
      <w:pPr>
        <w:rPr>
          <w:rFonts w:ascii="Arial" w:hAnsi="Arial" w:cs="Arial"/>
        </w:rPr>
      </w:pPr>
      <w:r w:rsidRPr="005C0AAB">
        <w:rPr>
          <w:rFonts w:ascii="Arial" w:hAnsi="Arial" w:cs="Arial"/>
        </w:rPr>
        <w:t>De novo</w:t>
      </w:r>
      <w:r w:rsidRPr="005C0AAB">
        <w:rPr>
          <w:rFonts w:ascii="Arial" w:hAnsi="Arial" w:cs="Arial"/>
          <w:i/>
        </w:rPr>
        <w:t xml:space="preserve"> </w:t>
      </w:r>
      <w:r w:rsidRPr="005C0AAB">
        <w:rPr>
          <w:rFonts w:ascii="Arial" w:hAnsi="Arial" w:cs="Arial"/>
        </w:rPr>
        <w:t>thrombotic microangiopathy (TMA) is a rare post-transplant complication that can lead to significant morbidity and mortality.  TMA can occur at any time post-transplant, although most commonly within the first 3-6 months.  The incidence of de novo</w:t>
      </w:r>
      <w:r w:rsidRPr="005C0AAB">
        <w:rPr>
          <w:rFonts w:ascii="Arial" w:hAnsi="Arial" w:cs="Arial"/>
          <w:i/>
        </w:rPr>
        <w:t xml:space="preserve"> </w:t>
      </w:r>
      <w:r w:rsidRPr="005C0AAB">
        <w:rPr>
          <w:rFonts w:ascii="Arial" w:hAnsi="Arial" w:cs="Arial"/>
        </w:rPr>
        <w:t>TMA has been reported to be 1.5%-14% with an estimated graft loss rate of 40% within two years of diagnosis. There are many potential precipitating factors, including but not limited to calcineurin inhibitor (CNI) use, mTOR inhibitor use, antibody-mediated rejection (AMR), viral infection and antiviral medication use.  Although drug-associated TMA can occur regardless of trough levels, it has been reported that patients with drug-associated TMA have higher trough levels compared to patients without.  Patients on combination mTOR and CNI regimens have also been found to be at higher risk of developing TMA.</w:t>
      </w:r>
    </w:p>
    <w:p w14:paraId="69EAE4B0" w14:textId="77777777" w:rsidR="005C0AAB" w:rsidRPr="005C0AAB" w:rsidRDefault="005C0AAB" w:rsidP="005C0AAB">
      <w:pPr>
        <w:rPr>
          <w:rFonts w:ascii="Arial" w:hAnsi="Arial" w:cs="Arial"/>
        </w:rPr>
      </w:pPr>
    </w:p>
    <w:p w14:paraId="7354290C" w14:textId="2387BEF4" w:rsidR="005C0AAB" w:rsidRPr="005C0AAB" w:rsidRDefault="005C0AAB" w:rsidP="005C0AAB">
      <w:pPr>
        <w:rPr>
          <w:rFonts w:ascii="Arial" w:hAnsi="Arial" w:cs="Arial"/>
          <w:b/>
          <w:u w:val="single"/>
        </w:rPr>
      </w:pPr>
      <w:r>
        <w:rPr>
          <w:rFonts w:ascii="Arial" w:hAnsi="Arial" w:cs="Arial"/>
          <w:b/>
          <w:u w:val="single"/>
        </w:rPr>
        <w:t>Diagnosis</w:t>
      </w:r>
    </w:p>
    <w:p w14:paraId="7EB7ADE3" w14:textId="77777777" w:rsidR="005C0AAB" w:rsidRPr="005C0AAB" w:rsidRDefault="005C0AAB" w:rsidP="005C0AAB">
      <w:pPr>
        <w:rPr>
          <w:rFonts w:ascii="Arial" w:hAnsi="Arial" w:cs="Arial"/>
        </w:rPr>
      </w:pPr>
      <w:r w:rsidRPr="005C0AAB">
        <w:rPr>
          <w:rFonts w:ascii="Arial" w:hAnsi="Arial" w:cs="Arial"/>
        </w:rPr>
        <w:t xml:space="preserve">TMA should be suspected in transplant patients with progressive graft dysfunction due to unknown cause as well as anemia and thrombocytopenia.  Definitive diagnosis requires biopsy.  </w:t>
      </w:r>
    </w:p>
    <w:p w14:paraId="6796D978" w14:textId="77777777" w:rsidR="005C0AAB" w:rsidRPr="005C0AAB" w:rsidRDefault="005C0AAB" w:rsidP="005C0AAB">
      <w:pPr>
        <w:rPr>
          <w:rFonts w:ascii="Arial" w:hAnsi="Arial" w:cs="Arial"/>
        </w:rPr>
      </w:pPr>
    </w:p>
    <w:p w14:paraId="2121C21D" w14:textId="4B55A2EB" w:rsidR="005C0AAB" w:rsidRPr="005C0AAB" w:rsidRDefault="005C0AAB" w:rsidP="005C0AAB">
      <w:pPr>
        <w:rPr>
          <w:rFonts w:ascii="Arial" w:hAnsi="Arial" w:cs="Arial"/>
          <w:b/>
          <w:u w:val="single"/>
        </w:rPr>
      </w:pPr>
      <w:r>
        <w:rPr>
          <w:rFonts w:ascii="Arial" w:hAnsi="Arial" w:cs="Arial"/>
          <w:b/>
          <w:u w:val="single"/>
        </w:rPr>
        <w:t>Workup</w:t>
      </w:r>
    </w:p>
    <w:p w14:paraId="27208D22" w14:textId="77777777" w:rsidR="005C0AAB" w:rsidRPr="005C0AAB" w:rsidRDefault="005C0AAB" w:rsidP="005C0AAB">
      <w:pPr>
        <w:widowControl w:val="0"/>
        <w:ind w:left="720"/>
        <w:rPr>
          <w:rFonts w:ascii="Arial" w:hAnsi="Arial" w:cs="Arial"/>
        </w:rPr>
      </w:pPr>
      <w:r w:rsidRPr="005C0AAB">
        <w:rPr>
          <w:rFonts w:ascii="Arial" w:hAnsi="Arial" w:cs="Arial"/>
        </w:rPr>
        <w:t xml:space="preserve">Initial workup- </w:t>
      </w:r>
    </w:p>
    <w:p w14:paraId="26D3067A"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Bilirubin (increased), Coombs testing (negative), haptoglobin (decreased/absent), lactate dehydrogenase (LDH) (elevated)</w:t>
      </w:r>
    </w:p>
    <w:p w14:paraId="08AC47D9"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Aspartate aminotransferase (AST)/alanine aminotransferase (ALT), creatinine</w:t>
      </w:r>
    </w:p>
    <w:p w14:paraId="544CF4EC"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Prothrombin time (PT)/partial thromboplastin time (PTT)/d-dimer – usually normal</w:t>
      </w:r>
    </w:p>
    <w:p w14:paraId="275CD834"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CBC – demonstrates thrombocytopenia (typically &lt;30 X 10</w:t>
      </w:r>
      <w:r w:rsidRPr="005C0AAB">
        <w:rPr>
          <w:rFonts w:ascii="Arial" w:hAnsi="Arial" w:cs="Arial"/>
          <w:vertAlign w:val="superscript"/>
        </w:rPr>
        <w:t>9</w:t>
      </w:r>
      <w:r w:rsidRPr="005C0AAB">
        <w:rPr>
          <w:rFonts w:ascii="Arial" w:hAnsi="Arial" w:cs="Arial"/>
        </w:rPr>
        <w:t xml:space="preserve">/L) </w:t>
      </w:r>
    </w:p>
    <w:p w14:paraId="2FDF0DE5"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Blood smear – red blood cell fragmentation (schistocytes), high reticulocyte count (&gt;120 X 10</w:t>
      </w:r>
      <w:r w:rsidRPr="005C0AAB">
        <w:rPr>
          <w:rFonts w:ascii="Arial" w:hAnsi="Arial" w:cs="Arial"/>
          <w:vertAlign w:val="superscript"/>
        </w:rPr>
        <w:t>9</w:t>
      </w:r>
      <w:r w:rsidRPr="005C0AAB">
        <w:rPr>
          <w:rFonts w:ascii="Arial" w:hAnsi="Arial" w:cs="Arial"/>
        </w:rPr>
        <w:t>/L)</w:t>
      </w:r>
    </w:p>
    <w:p w14:paraId="1B24DD37"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Antinuclear antibodies (ANA)</w:t>
      </w:r>
    </w:p>
    <w:p w14:paraId="70474458"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Stool culture</w:t>
      </w:r>
    </w:p>
    <w:p w14:paraId="7915DB1A"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Shiga toxin stool polymerase chain reaction (PCR) – for patients presenting with diarrhea</w:t>
      </w:r>
    </w:p>
    <w:p w14:paraId="56836D74"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rPr>
        <w:t>Complement testing if aHUS suspected</w:t>
      </w:r>
    </w:p>
    <w:p w14:paraId="0B0AE278" w14:textId="77777777" w:rsidR="005C0AAB" w:rsidRPr="005C0AAB" w:rsidRDefault="005C0AAB" w:rsidP="005C0AAB">
      <w:pPr>
        <w:numPr>
          <w:ilvl w:val="1"/>
          <w:numId w:val="16"/>
        </w:numPr>
        <w:spacing w:before="100" w:beforeAutospacing="1" w:after="100" w:afterAutospacing="1"/>
        <w:rPr>
          <w:rFonts w:ascii="Arial" w:hAnsi="Arial" w:cs="Arial"/>
        </w:rPr>
      </w:pPr>
      <w:r w:rsidRPr="005C0AAB">
        <w:rPr>
          <w:rFonts w:ascii="Arial" w:hAnsi="Arial" w:cs="Arial"/>
          <w:i/>
          <w:iCs/>
        </w:rPr>
        <w:t>ADAMTS13</w:t>
      </w:r>
      <w:r w:rsidRPr="005C0AAB">
        <w:rPr>
          <w:rFonts w:ascii="Arial" w:hAnsi="Arial" w:cs="Arial"/>
        </w:rPr>
        <w:t xml:space="preserve"> testing to r/o TTP</w:t>
      </w:r>
    </w:p>
    <w:p w14:paraId="3B9EDB94" w14:textId="77777777" w:rsidR="005C0AAB" w:rsidRPr="005C0AAB" w:rsidRDefault="005C0AAB" w:rsidP="005C0AAB">
      <w:pPr>
        <w:rPr>
          <w:rFonts w:ascii="Arial" w:hAnsi="Arial" w:cs="Arial"/>
        </w:rPr>
      </w:pPr>
    </w:p>
    <w:p w14:paraId="585A8944" w14:textId="77777777" w:rsidR="005C0AAB" w:rsidRPr="005C0AAB" w:rsidRDefault="005C0AAB" w:rsidP="005C0AAB">
      <w:pPr>
        <w:rPr>
          <w:rFonts w:ascii="Arial" w:hAnsi="Arial" w:cs="Arial"/>
        </w:rPr>
      </w:pPr>
      <w:bookmarkStart w:id="0" w:name="_GoBack"/>
      <w:bookmarkEnd w:id="0"/>
    </w:p>
    <w:p w14:paraId="2450E101" w14:textId="77777777" w:rsidR="005C0AAB" w:rsidRPr="005C0AAB" w:rsidRDefault="005C0AAB" w:rsidP="005C0AAB">
      <w:pPr>
        <w:rPr>
          <w:rFonts w:ascii="Arial" w:hAnsi="Arial" w:cs="Arial"/>
          <w:u w:val="single"/>
        </w:rPr>
      </w:pPr>
      <w:r w:rsidRPr="005C0AAB">
        <w:rPr>
          <w:rFonts w:ascii="Arial" w:hAnsi="Arial" w:cs="Arial"/>
          <w:u w:val="single"/>
        </w:rPr>
        <w:t>Send out to ARUP/Cincinnati</w:t>
      </w:r>
    </w:p>
    <w:p w14:paraId="4DD49B09" w14:textId="77777777" w:rsidR="005C0AAB" w:rsidRPr="005C0AAB" w:rsidRDefault="005C0AAB" w:rsidP="005C0AAB">
      <w:pPr>
        <w:widowControl w:val="0"/>
        <w:numPr>
          <w:ilvl w:val="0"/>
          <w:numId w:val="17"/>
        </w:numPr>
        <w:rPr>
          <w:rFonts w:ascii="Arial" w:hAnsi="Arial" w:cs="Arial"/>
        </w:rPr>
      </w:pPr>
      <w:r w:rsidRPr="005C0AAB">
        <w:rPr>
          <w:rFonts w:ascii="Arial" w:hAnsi="Arial" w:cs="Arial"/>
        </w:rPr>
        <w:t>ADAMTS12 activity/Inhibition test/antibody test/sequencing test</w:t>
      </w:r>
    </w:p>
    <w:p w14:paraId="704C8088" w14:textId="77777777" w:rsidR="005C0AAB" w:rsidRPr="005C0AAB" w:rsidRDefault="005C0AAB" w:rsidP="005C0AAB">
      <w:pPr>
        <w:widowControl w:val="0"/>
        <w:numPr>
          <w:ilvl w:val="0"/>
          <w:numId w:val="17"/>
        </w:numPr>
        <w:rPr>
          <w:rFonts w:ascii="Arial" w:hAnsi="Arial" w:cs="Arial"/>
        </w:rPr>
      </w:pPr>
      <w:r w:rsidRPr="005C0AAB">
        <w:rPr>
          <w:rFonts w:ascii="Arial" w:hAnsi="Arial" w:cs="Arial"/>
        </w:rPr>
        <w:t>TMA profile aHUS/TTP C3, C4, Factor H, Factor H autoantibody, Factor I, Factor B</w:t>
      </w:r>
    </w:p>
    <w:p w14:paraId="41EBE08F" w14:textId="77777777" w:rsidR="005C0AAB" w:rsidRPr="005C0AAB" w:rsidRDefault="005C0AAB" w:rsidP="005C0AAB">
      <w:pPr>
        <w:ind w:left="360"/>
        <w:rPr>
          <w:rFonts w:ascii="Arial" w:hAnsi="Arial" w:cs="Arial"/>
          <w:i/>
        </w:rPr>
      </w:pPr>
      <w:r w:rsidRPr="005C0AAB">
        <w:rPr>
          <w:rFonts w:ascii="Arial" w:hAnsi="Arial" w:cs="Arial"/>
          <w:i/>
        </w:rPr>
        <w:t>Loss of function mutations in complement regulatory proteins Factor H (</w:t>
      </w:r>
      <w:r w:rsidRPr="005C0AAB">
        <w:rPr>
          <w:rFonts w:ascii="Arial" w:hAnsi="Arial" w:cs="Arial"/>
          <w:i/>
          <w:iCs/>
        </w:rPr>
        <w:t>CFH</w:t>
      </w:r>
      <w:r w:rsidRPr="005C0AAB">
        <w:rPr>
          <w:rFonts w:ascii="Arial" w:hAnsi="Arial" w:cs="Arial"/>
          <w:i/>
        </w:rPr>
        <w:t>), Factor H-related 5 (</w:t>
      </w:r>
      <w:r w:rsidRPr="005C0AAB">
        <w:rPr>
          <w:rFonts w:ascii="Arial" w:hAnsi="Arial" w:cs="Arial"/>
          <w:i/>
          <w:iCs/>
        </w:rPr>
        <w:t>CFHR5</w:t>
      </w:r>
      <w:r w:rsidRPr="005C0AAB">
        <w:rPr>
          <w:rFonts w:ascii="Arial" w:hAnsi="Arial" w:cs="Arial"/>
          <w:i/>
        </w:rPr>
        <w:t>), Factor I (</w:t>
      </w:r>
      <w:r w:rsidRPr="005C0AAB">
        <w:rPr>
          <w:rFonts w:ascii="Arial" w:hAnsi="Arial" w:cs="Arial"/>
          <w:i/>
          <w:iCs/>
        </w:rPr>
        <w:t>CFI</w:t>
      </w:r>
      <w:r w:rsidRPr="005C0AAB">
        <w:rPr>
          <w:rFonts w:ascii="Arial" w:hAnsi="Arial" w:cs="Arial"/>
          <w:i/>
        </w:rPr>
        <w:t>), Membrane Cofactor Protein / CD46 (</w:t>
      </w:r>
      <w:r w:rsidRPr="005C0AAB">
        <w:rPr>
          <w:rFonts w:ascii="Arial" w:hAnsi="Arial" w:cs="Arial"/>
          <w:i/>
          <w:iCs/>
        </w:rPr>
        <w:t>CD46</w:t>
      </w:r>
      <w:r w:rsidRPr="005C0AAB">
        <w:rPr>
          <w:rFonts w:ascii="Arial" w:hAnsi="Arial" w:cs="Arial"/>
          <w:i/>
        </w:rPr>
        <w:t>), and Thrombomodulin (</w:t>
      </w:r>
      <w:r w:rsidRPr="005C0AAB">
        <w:rPr>
          <w:rFonts w:ascii="Arial" w:hAnsi="Arial" w:cs="Arial"/>
          <w:i/>
          <w:iCs/>
        </w:rPr>
        <w:t>THBD</w:t>
      </w:r>
      <w:r w:rsidRPr="005C0AAB">
        <w:rPr>
          <w:rFonts w:ascii="Arial" w:hAnsi="Arial" w:cs="Arial"/>
          <w:i/>
        </w:rPr>
        <w:t>), as well as gain of function mutations in alternative pathway components Factor B (CFB) and C3 (C3) have all been identified in patients with atypical HUS.  Includes sequence analysis of ADAMTS13, C3, C4BPA, CD46 (MCP), CD59, CFB, CFH, CFHR1, CFHR2, CFHR3, CFHR4, CFHR5, CFI, DGK, MMACHC, PLG, THBD and deletion/duplication analysis of CFHR1 and CFHR3 via MLPA. Also includes analysis of variants c.2653C&gt;T and c.2654G&gt;A in the C5 gene, which are associated with poor response to eculizumab.</w:t>
      </w:r>
    </w:p>
    <w:p w14:paraId="1112B13B" w14:textId="77777777" w:rsidR="005C0AAB" w:rsidRPr="005C0AAB" w:rsidRDefault="005C0AAB" w:rsidP="005C0AAB">
      <w:pPr>
        <w:widowControl w:val="0"/>
        <w:numPr>
          <w:ilvl w:val="0"/>
          <w:numId w:val="18"/>
        </w:numPr>
        <w:rPr>
          <w:rFonts w:ascii="Arial" w:hAnsi="Arial" w:cs="Arial"/>
        </w:rPr>
      </w:pPr>
      <w:r w:rsidRPr="005C0AAB">
        <w:rPr>
          <w:rFonts w:ascii="Arial" w:hAnsi="Arial" w:cs="Arial"/>
        </w:rPr>
        <w:t>If eculizumab is considered- terminal complement pathway activity needs to be ordered (CH50, C5a and sC5b-9)</w:t>
      </w:r>
    </w:p>
    <w:p w14:paraId="1525F1C3" w14:textId="77777777" w:rsidR="005C0AAB" w:rsidRPr="005C0AAB" w:rsidRDefault="005C0AAB" w:rsidP="005C0AAB">
      <w:pPr>
        <w:rPr>
          <w:rFonts w:ascii="Arial" w:hAnsi="Arial" w:cs="Arial"/>
        </w:rPr>
      </w:pPr>
    </w:p>
    <w:p w14:paraId="6BB88AB2" w14:textId="460437D0" w:rsidR="005C0AAB" w:rsidRPr="005C0AAB" w:rsidRDefault="005C0AAB" w:rsidP="005C0AAB">
      <w:pPr>
        <w:rPr>
          <w:rFonts w:ascii="Arial" w:hAnsi="Arial" w:cs="Arial"/>
          <w:b/>
          <w:u w:val="single"/>
        </w:rPr>
      </w:pPr>
      <w:r>
        <w:rPr>
          <w:rFonts w:ascii="Arial" w:hAnsi="Arial" w:cs="Arial"/>
          <w:b/>
          <w:u w:val="single"/>
        </w:rPr>
        <w:t>Management</w:t>
      </w:r>
    </w:p>
    <w:p w14:paraId="21ADCC19" w14:textId="77777777" w:rsidR="005C0AAB" w:rsidRPr="005C0AAB" w:rsidRDefault="005C0AAB" w:rsidP="005C0AAB">
      <w:pPr>
        <w:widowControl w:val="0"/>
        <w:numPr>
          <w:ilvl w:val="0"/>
          <w:numId w:val="15"/>
        </w:numPr>
        <w:rPr>
          <w:rFonts w:ascii="Arial" w:hAnsi="Arial" w:cs="Arial"/>
          <w:b/>
        </w:rPr>
      </w:pPr>
      <w:r w:rsidRPr="005C0AAB">
        <w:rPr>
          <w:rFonts w:ascii="Arial" w:hAnsi="Arial" w:cs="Arial"/>
          <w:b/>
        </w:rPr>
        <w:t>Early TMA: less than 9 months post-transplant on Bela protocol</w:t>
      </w:r>
    </w:p>
    <w:p w14:paraId="237B9142"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Discontinue CNI immediately</w:t>
      </w:r>
    </w:p>
    <w:p w14:paraId="568050F7"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Bela continue per protocol</w:t>
      </w:r>
    </w:p>
    <w:p w14:paraId="13AEF238"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Initiate sirolimus and maintain a trough 5-8 during the first month post-transplant and then transition to 3-5 </w:t>
      </w:r>
    </w:p>
    <w:p w14:paraId="398F03B2"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Initiate PLEX for at least 5 days, monitor for improvement in thrombocytopenia -&gt; anemia -&gt; UOP -&gt; allograft function over 3-5 days</w:t>
      </w:r>
    </w:p>
    <w:p w14:paraId="3E8D83BA"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Give bela 10 mg/kg at the end of the third and fifth sessions, and after every 2-3 sessions thereafter if PLEX continued</w:t>
      </w:r>
    </w:p>
    <w:p w14:paraId="56035C06" w14:textId="77777777" w:rsidR="005C0AAB" w:rsidRPr="005C0AAB" w:rsidRDefault="005C0AAB" w:rsidP="005C0AAB">
      <w:pPr>
        <w:widowControl w:val="0"/>
        <w:ind w:left="1620"/>
        <w:rPr>
          <w:rFonts w:ascii="Arial" w:hAnsi="Arial" w:cs="Arial"/>
        </w:rPr>
      </w:pPr>
    </w:p>
    <w:p w14:paraId="59EE29C5" w14:textId="77777777" w:rsidR="005C0AAB" w:rsidRPr="005C0AAB" w:rsidRDefault="005C0AAB" w:rsidP="005C0AAB">
      <w:pPr>
        <w:widowControl w:val="0"/>
        <w:numPr>
          <w:ilvl w:val="0"/>
          <w:numId w:val="15"/>
        </w:numPr>
        <w:rPr>
          <w:rFonts w:ascii="Arial" w:hAnsi="Arial" w:cs="Arial"/>
          <w:b/>
        </w:rPr>
      </w:pPr>
      <w:r w:rsidRPr="005C0AAB">
        <w:rPr>
          <w:rFonts w:ascii="Arial" w:hAnsi="Arial" w:cs="Arial"/>
          <w:b/>
        </w:rPr>
        <w:t>Early TMA: less than 9 months post-transplant on tac protocol</w:t>
      </w:r>
    </w:p>
    <w:p w14:paraId="20C5515F"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Discontinue CNI immediately</w:t>
      </w:r>
    </w:p>
    <w:p w14:paraId="4CCF6514"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Bela </w:t>
      </w:r>
    </w:p>
    <w:p w14:paraId="4B65999D"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Ok to consider Bela for relative contraindications (HIV, CMV high risk, KP)</w:t>
      </w:r>
    </w:p>
    <w:p w14:paraId="13C304B7"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Do not use Bela for absolute contraindications i.e. EBV negative</w:t>
      </w:r>
    </w:p>
    <w:p w14:paraId="3B988A71"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Dose bela per package insert: Belatacept 10 mg/kg IVPB on day 1, day 5, day 14, month 1, month 2, and month 3.  Reduce to 5mg/kg IVPB beginning month 4 and continue monthly thereafter</w:t>
      </w:r>
    </w:p>
    <w:p w14:paraId="6603E019"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Initiate sirolimus and maintain a trough 3-5 </w:t>
      </w:r>
    </w:p>
    <w:p w14:paraId="3DB91120" w14:textId="77777777" w:rsidR="005C0AAB" w:rsidRPr="005C0AAB" w:rsidRDefault="005C0AAB" w:rsidP="005C0AAB">
      <w:pPr>
        <w:widowControl w:val="0"/>
        <w:ind w:left="1440"/>
        <w:rPr>
          <w:rFonts w:ascii="Arial" w:hAnsi="Arial" w:cs="Arial"/>
        </w:rPr>
      </w:pPr>
    </w:p>
    <w:p w14:paraId="7FD2BDA1" w14:textId="77777777" w:rsidR="005C0AAB" w:rsidRPr="005C0AAB" w:rsidRDefault="005C0AAB" w:rsidP="005C0AAB">
      <w:pPr>
        <w:widowControl w:val="0"/>
        <w:numPr>
          <w:ilvl w:val="0"/>
          <w:numId w:val="15"/>
        </w:numPr>
        <w:rPr>
          <w:rFonts w:ascii="Arial" w:hAnsi="Arial" w:cs="Arial"/>
          <w:b/>
        </w:rPr>
      </w:pPr>
      <w:r w:rsidRPr="005C0AAB">
        <w:rPr>
          <w:rFonts w:ascii="Arial" w:hAnsi="Arial" w:cs="Arial"/>
          <w:b/>
        </w:rPr>
        <w:t>Late TMA: more than 9 months post-transplant on Bela protocol</w:t>
      </w:r>
    </w:p>
    <w:p w14:paraId="52C1D4DB"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Discontinue CNI immediately</w:t>
      </w:r>
    </w:p>
    <w:p w14:paraId="710FA9B3"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Bela continue per protocol </w:t>
      </w:r>
    </w:p>
    <w:p w14:paraId="00EE378F"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Initiate PLEX for at least 5 days, monitor for improvement in thrombocytopenia -&gt; anemia -&gt; UOP -&gt; allograft function over 3-5 days</w:t>
      </w:r>
    </w:p>
    <w:p w14:paraId="4DD6226B"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Give bela 10 mg/kg at the end of the third and fifth sessions, and after every 2-3 sessions thereafter if PLEX continued</w:t>
      </w:r>
    </w:p>
    <w:p w14:paraId="2AF348ED" w14:textId="77777777" w:rsidR="005C0AAB" w:rsidRPr="005C0AAB" w:rsidRDefault="005C0AAB" w:rsidP="005C0AAB">
      <w:pPr>
        <w:widowControl w:val="0"/>
        <w:ind w:left="2160"/>
        <w:rPr>
          <w:rFonts w:ascii="Arial" w:hAnsi="Arial" w:cs="Arial"/>
        </w:rPr>
      </w:pPr>
    </w:p>
    <w:p w14:paraId="52417A2C" w14:textId="77777777" w:rsidR="005C0AAB" w:rsidRPr="005C0AAB" w:rsidRDefault="005C0AAB" w:rsidP="005C0AAB">
      <w:pPr>
        <w:widowControl w:val="0"/>
        <w:numPr>
          <w:ilvl w:val="0"/>
          <w:numId w:val="15"/>
        </w:numPr>
        <w:rPr>
          <w:rFonts w:ascii="Arial" w:hAnsi="Arial" w:cs="Arial"/>
          <w:b/>
        </w:rPr>
      </w:pPr>
      <w:r w:rsidRPr="005C0AAB">
        <w:rPr>
          <w:rFonts w:ascii="Arial" w:hAnsi="Arial" w:cs="Arial"/>
          <w:b/>
        </w:rPr>
        <w:t>Late TMA: more than 9 months post-transplant on tac protocol</w:t>
      </w:r>
    </w:p>
    <w:p w14:paraId="34F8CE2A"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Discontinue CNI immediately</w:t>
      </w:r>
    </w:p>
    <w:p w14:paraId="4809F57A"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Bela </w:t>
      </w:r>
    </w:p>
    <w:p w14:paraId="411B2974"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Ok to consider Bela for relative contraindications (HIV, CMV high risk, KP)</w:t>
      </w:r>
    </w:p>
    <w:p w14:paraId="4A1222B4"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Do not use Bela for absolute contraindications i.e. EBV negative</w:t>
      </w:r>
    </w:p>
    <w:p w14:paraId="34CA2BE2"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Dose per package insert: Belatacept 10 mg/kg IVPB on day 1, day 5, day 14, month 1, month 2, and month 3.  Reduce to 5mg/kg IVPB beginning month 4 and continue monthly thereafter</w:t>
      </w:r>
    </w:p>
    <w:p w14:paraId="4B02446F"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Initiate PLEX for at least 5 days, monitor for improvement in thrombocytopenia -&gt; anemia -&gt; UOP -&gt; allograft function over 3-5 days</w:t>
      </w:r>
    </w:p>
    <w:p w14:paraId="31082D2B"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Give Bela 10 mg/kg at the end of the third and fifth sessions, and after every 2-3 sessions thereafter if PLEX continued</w:t>
      </w:r>
    </w:p>
    <w:p w14:paraId="21B9921B" w14:textId="77777777" w:rsidR="005C0AAB" w:rsidRPr="005C0AAB" w:rsidRDefault="005C0AAB" w:rsidP="005C0AAB">
      <w:pPr>
        <w:widowControl w:val="0"/>
        <w:ind w:left="2160"/>
        <w:rPr>
          <w:rFonts w:ascii="Arial" w:hAnsi="Arial" w:cs="Arial"/>
        </w:rPr>
      </w:pPr>
    </w:p>
    <w:p w14:paraId="6726D439" w14:textId="77777777" w:rsidR="005C0AAB" w:rsidRPr="005C0AAB" w:rsidRDefault="005C0AAB" w:rsidP="005C0AAB">
      <w:pPr>
        <w:widowControl w:val="0"/>
        <w:numPr>
          <w:ilvl w:val="0"/>
          <w:numId w:val="15"/>
        </w:numPr>
        <w:rPr>
          <w:rFonts w:ascii="Arial" w:hAnsi="Arial" w:cs="Arial"/>
        </w:rPr>
      </w:pPr>
      <w:r w:rsidRPr="005C0AAB">
        <w:rPr>
          <w:rFonts w:ascii="Arial" w:hAnsi="Arial" w:cs="Arial"/>
        </w:rPr>
        <w:t>Absolute Contraindications for Bela</w:t>
      </w:r>
    </w:p>
    <w:p w14:paraId="57A8744F"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 xml:space="preserve">Start sirolimus and continue on 5-8 trough </w:t>
      </w:r>
    </w:p>
    <w:p w14:paraId="7482E039" w14:textId="77777777" w:rsidR="005C0AAB" w:rsidRPr="005C0AAB" w:rsidRDefault="005C0AAB" w:rsidP="005C0AAB">
      <w:pPr>
        <w:widowControl w:val="0"/>
        <w:ind w:left="1440"/>
        <w:rPr>
          <w:rFonts w:ascii="Arial" w:hAnsi="Arial" w:cs="Arial"/>
        </w:rPr>
      </w:pPr>
    </w:p>
    <w:p w14:paraId="5BE0EFA1" w14:textId="77777777" w:rsidR="005C0AAB" w:rsidRPr="005C0AAB" w:rsidRDefault="005C0AAB" w:rsidP="005C0AAB">
      <w:pPr>
        <w:widowControl w:val="0"/>
        <w:numPr>
          <w:ilvl w:val="0"/>
          <w:numId w:val="15"/>
        </w:numPr>
        <w:rPr>
          <w:rFonts w:ascii="Arial" w:hAnsi="Arial" w:cs="Arial"/>
        </w:rPr>
      </w:pPr>
      <w:r w:rsidRPr="005C0AAB">
        <w:rPr>
          <w:rFonts w:ascii="Arial" w:hAnsi="Arial" w:cs="Arial"/>
          <w:b/>
        </w:rPr>
        <w:t>Plasmapheresis (PLEX):</w:t>
      </w:r>
      <w:r w:rsidRPr="005C0AAB">
        <w:rPr>
          <w:rFonts w:ascii="Arial" w:hAnsi="Arial" w:cs="Arial"/>
        </w:rPr>
        <w:t xml:space="preserve"> Ensure TMA send out labs are sent before initiating PLEX</w:t>
      </w:r>
    </w:p>
    <w:p w14:paraId="5F55D651" w14:textId="77777777" w:rsidR="005C0AAB" w:rsidRPr="005C0AAB" w:rsidRDefault="005C0AAB" w:rsidP="005C0AAB">
      <w:pPr>
        <w:ind w:left="360"/>
        <w:rPr>
          <w:rFonts w:ascii="Arial" w:hAnsi="Arial" w:cs="Arial"/>
        </w:rPr>
      </w:pPr>
    </w:p>
    <w:p w14:paraId="7B0BD1AA"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Initiate PLEX for 5 days, monitor for improvement in thrombocytopenia -&gt; anemia -&gt; UOP -&gt;allograft function over 3-5 days</w:t>
      </w:r>
    </w:p>
    <w:p w14:paraId="0F776AB6"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Give bela 10 mg/kg at the end of the third and fifth sessions, and after every 2-3 sessions thereafter if PLEX continued</w:t>
      </w:r>
    </w:p>
    <w:p w14:paraId="734576A5" w14:textId="77777777" w:rsidR="005C0AAB" w:rsidRPr="005C0AAB" w:rsidRDefault="005C0AAB" w:rsidP="005C0AAB">
      <w:pPr>
        <w:rPr>
          <w:rFonts w:ascii="Arial" w:hAnsi="Arial" w:cs="Arial"/>
        </w:rPr>
      </w:pPr>
    </w:p>
    <w:p w14:paraId="4AE5906D" w14:textId="77777777" w:rsidR="005C0AAB" w:rsidRPr="005C0AAB" w:rsidRDefault="005C0AAB" w:rsidP="005C0AAB">
      <w:pPr>
        <w:widowControl w:val="0"/>
        <w:numPr>
          <w:ilvl w:val="0"/>
          <w:numId w:val="15"/>
        </w:numPr>
        <w:rPr>
          <w:rFonts w:ascii="Arial" w:hAnsi="Arial" w:cs="Arial"/>
          <w:b/>
        </w:rPr>
      </w:pPr>
      <w:r w:rsidRPr="005C0AAB">
        <w:rPr>
          <w:rFonts w:ascii="Arial" w:hAnsi="Arial" w:cs="Arial"/>
          <w:b/>
        </w:rPr>
        <w:t>Eculizumab</w:t>
      </w:r>
    </w:p>
    <w:p w14:paraId="63E2826F"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Can be considered in patients with:</w:t>
      </w:r>
    </w:p>
    <w:p w14:paraId="03B2B831"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Plasmapheresis-dependence and/or no improvement after 5 days of PLEX</w:t>
      </w:r>
    </w:p>
    <w:p w14:paraId="7A50D76F"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Laboratory confirmed genetic disorder</w:t>
      </w:r>
    </w:p>
    <w:p w14:paraId="0A65C0E7"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Eculizumab is non-formulary due to high cost and requires submission of P&amp;T non-formulary request form.  Drug will be ordered as patient specific supply pending approval and typically takes 1-2 business days for delivery.</w:t>
      </w:r>
    </w:p>
    <w:p w14:paraId="7CA60FE4"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Recommended dosing of Eculizumab: 900mg weekly x 4 weeks, followed by 1200mg at week 5 then 1200mg q2 weeks thereafter.</w:t>
      </w:r>
    </w:p>
    <w:p w14:paraId="09BCA3F4" w14:textId="77777777" w:rsidR="005C0AAB" w:rsidRPr="005C0AAB" w:rsidRDefault="005C0AAB" w:rsidP="005C0AAB">
      <w:pPr>
        <w:widowControl w:val="0"/>
        <w:numPr>
          <w:ilvl w:val="1"/>
          <w:numId w:val="15"/>
        </w:numPr>
        <w:rPr>
          <w:rFonts w:ascii="Arial" w:hAnsi="Arial" w:cs="Arial"/>
          <w:b/>
        </w:rPr>
      </w:pPr>
      <w:r w:rsidRPr="005C0AAB">
        <w:rPr>
          <w:rFonts w:ascii="Arial" w:hAnsi="Arial" w:cs="Arial"/>
        </w:rPr>
        <w:t xml:space="preserve">NOTE: </w:t>
      </w:r>
      <w:r w:rsidRPr="005C0AAB">
        <w:rPr>
          <w:rFonts w:ascii="Arial" w:hAnsi="Arial" w:cs="Arial"/>
          <w:b/>
        </w:rPr>
        <w:t>eculizumab is removed by plasmapheresis</w:t>
      </w:r>
      <w:r w:rsidRPr="005C0AAB">
        <w:rPr>
          <w:rFonts w:ascii="Arial" w:hAnsi="Arial" w:cs="Arial"/>
        </w:rPr>
        <w:t xml:space="preserve"> and patients require supplemental doses after plasmapheresis therapy.  </w:t>
      </w:r>
      <w:r w:rsidRPr="005C0AAB">
        <w:rPr>
          <w:rFonts w:ascii="Arial" w:hAnsi="Arial" w:cs="Arial"/>
          <w:b/>
        </w:rPr>
        <w:t>Consider discontinuing plasmapheresis if eculizumab is initiated.</w:t>
      </w:r>
    </w:p>
    <w:p w14:paraId="24EA8083"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Eculizumab may be discontinued when TMA is clinically resolved and renal function stabilized and the absence of genetic abnormality.</w:t>
      </w:r>
    </w:p>
    <w:p w14:paraId="5350F642" w14:textId="77777777" w:rsidR="005C0AAB" w:rsidRPr="005C0AAB" w:rsidRDefault="005C0AAB" w:rsidP="005C0AAB">
      <w:pPr>
        <w:widowControl w:val="0"/>
        <w:numPr>
          <w:ilvl w:val="1"/>
          <w:numId w:val="15"/>
        </w:numPr>
        <w:rPr>
          <w:rFonts w:ascii="Arial" w:hAnsi="Arial" w:cs="Arial"/>
        </w:rPr>
      </w:pPr>
      <w:r w:rsidRPr="005C0AAB">
        <w:rPr>
          <w:rFonts w:ascii="Arial" w:hAnsi="Arial" w:cs="Arial"/>
        </w:rPr>
        <w:t>Patients receiving eculizumab are at increased risk of meningococcal infections and infections with encapsulated organisms.  Patients should receive meningococcal vaccinations if not previously vaccinated (MenACWY and MenB) when possible AND remain on penicillin prophylaxis 500mg q12h until at least 2 weeks after final dose of eculizumab.   Patients should also be up to date on pneumococcal vaccines.</w:t>
      </w:r>
    </w:p>
    <w:p w14:paraId="6404258E" w14:textId="77777777" w:rsidR="005C0AAB" w:rsidRPr="005C0AAB" w:rsidRDefault="005C0AAB" w:rsidP="005C0AAB">
      <w:pPr>
        <w:widowControl w:val="0"/>
        <w:numPr>
          <w:ilvl w:val="2"/>
          <w:numId w:val="15"/>
        </w:numPr>
        <w:rPr>
          <w:rFonts w:ascii="Arial" w:hAnsi="Arial" w:cs="Arial"/>
        </w:rPr>
      </w:pPr>
      <w:r w:rsidRPr="005C0AAB">
        <w:rPr>
          <w:rFonts w:ascii="Arial" w:hAnsi="Arial" w:cs="Arial"/>
        </w:rPr>
        <w:t xml:space="preserve">In case of a penicillin allergy, ciprofloxacin 500mg daily is recommended, renally adjusted if applicable.  </w:t>
      </w:r>
    </w:p>
    <w:p w14:paraId="55BEEA62" w14:textId="77777777" w:rsidR="005C0AAB" w:rsidRPr="0019168D" w:rsidRDefault="005C0AAB" w:rsidP="00D82ADA">
      <w:pPr>
        <w:rPr>
          <w:rFonts w:ascii="Arial" w:hAnsi="Arial" w:cs="Arial"/>
        </w:rPr>
      </w:pPr>
    </w:p>
    <w:p w14:paraId="132C8ABB" w14:textId="5048AB13" w:rsidR="00D31825" w:rsidRPr="005C0AAB"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r w:rsidR="005C0AAB">
        <w:rPr>
          <w:rFonts w:ascii="Arial" w:hAnsi="Arial" w:cs="Arial"/>
        </w:rPr>
        <w:t xml:space="preserve"> N/A</w:t>
      </w:r>
    </w:p>
    <w:p w14:paraId="4A160FAC" w14:textId="77777777" w:rsidR="00E738BE" w:rsidRDefault="00E738BE" w:rsidP="006F1E72">
      <w:pPr>
        <w:pStyle w:val="ListParagraph"/>
        <w:ind w:left="0"/>
        <w:rPr>
          <w:rFonts w:ascii="Arial" w:hAnsi="Arial" w:cs="Arial"/>
        </w:rPr>
      </w:pPr>
    </w:p>
    <w:p w14:paraId="0A4B29F7" w14:textId="77777777" w:rsidR="006F1E72" w:rsidRPr="00480796" w:rsidRDefault="006F1E72" w:rsidP="006F1E72">
      <w:pPr>
        <w:pStyle w:val="ListParagraph"/>
        <w:ind w:left="0"/>
        <w:rPr>
          <w:rFonts w:ascii="Arial" w:hAnsi="Arial" w:cs="Arial"/>
        </w:rPr>
      </w:pPr>
    </w:p>
    <w:p w14:paraId="5A43D9AD" w14:textId="1699B0AF"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r w:rsidR="005C0AAB">
        <w:rPr>
          <w:rFonts w:ascii="Arial" w:hAnsi="Arial" w:cs="Arial"/>
        </w:rPr>
        <w:t>N/A</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77777777" w:rsidR="00A973EE" w:rsidRPr="0019168D" w:rsidRDefault="00A973EE" w:rsidP="00D82ADA">
      <w:pPr>
        <w:rPr>
          <w:rFonts w:ascii="Arial" w:hAnsi="Arial" w:cs="Arial"/>
        </w:rPr>
      </w:pPr>
      <w:r w:rsidRPr="0019168D">
        <w:rPr>
          <w:rFonts w:ascii="Arial" w:hAnsi="Arial" w:cs="Arial"/>
          <w:b/>
          <w:u w:val="single"/>
        </w:rPr>
        <w:t>REFERENCES AND SOURCES OF EVIDENCE</w:t>
      </w:r>
      <w:r w:rsidR="0019168D" w:rsidRPr="0019168D">
        <w:rPr>
          <w:rFonts w:ascii="Arial" w:hAnsi="Arial" w:cs="Arial"/>
          <w:b/>
          <w:u w:val="single"/>
        </w:rPr>
        <w:t>:</w:t>
      </w:r>
    </w:p>
    <w:p w14:paraId="7D24A5C3" w14:textId="3346B8B4" w:rsidR="00757FDD" w:rsidRDefault="00757FDD" w:rsidP="00D82ADA">
      <w:pPr>
        <w:rPr>
          <w:rFonts w:ascii="Arial" w:hAnsi="Arial" w:cs="Arial"/>
        </w:rPr>
      </w:pPr>
    </w:p>
    <w:p w14:paraId="3DA81069" w14:textId="77777777" w:rsidR="005C0AAB" w:rsidRPr="005C0AAB" w:rsidRDefault="005C0AAB" w:rsidP="005C0AAB">
      <w:pPr>
        <w:rPr>
          <w:rFonts w:ascii="Arial" w:hAnsi="Arial" w:cs="Arial"/>
        </w:rPr>
      </w:pPr>
      <w:r w:rsidRPr="005C0AAB">
        <w:rPr>
          <w:rFonts w:ascii="Arial" w:hAnsi="Arial" w:cs="Arial"/>
        </w:rPr>
        <w:t xml:space="preserve">Abbas F, Kossi ME, Kim JJ, Sharma A, Halawa A.  Thrombotic microangiopathy after renal transplantation: Current insights in </w:t>
      </w:r>
      <w:r w:rsidRPr="005C0AAB">
        <w:rPr>
          <w:rFonts w:ascii="Arial" w:hAnsi="Arial" w:cs="Arial"/>
          <w:i/>
        </w:rPr>
        <w:t>de novo</w:t>
      </w:r>
      <w:r w:rsidRPr="005C0AAB">
        <w:rPr>
          <w:rFonts w:ascii="Arial" w:hAnsi="Arial" w:cs="Arial"/>
        </w:rPr>
        <w:t xml:space="preserve"> and recurrent disease.  </w:t>
      </w:r>
      <w:r w:rsidRPr="005C0AAB">
        <w:rPr>
          <w:rFonts w:ascii="Arial" w:hAnsi="Arial" w:cs="Arial"/>
          <w:i/>
        </w:rPr>
        <w:t>World J Transplant</w:t>
      </w:r>
      <w:r w:rsidRPr="005C0AAB">
        <w:rPr>
          <w:rFonts w:ascii="Arial" w:hAnsi="Arial" w:cs="Arial"/>
        </w:rPr>
        <w:t>. 2018;8(5):122-141.</w:t>
      </w:r>
    </w:p>
    <w:p w14:paraId="738A50C7" w14:textId="77777777" w:rsidR="005C0AAB" w:rsidRPr="005C0AAB" w:rsidRDefault="005C0AAB" w:rsidP="005C0AAB">
      <w:pPr>
        <w:rPr>
          <w:rFonts w:ascii="Arial" w:hAnsi="Arial" w:cs="Arial"/>
        </w:rPr>
      </w:pPr>
    </w:p>
    <w:p w14:paraId="1C49E1D3" w14:textId="77777777" w:rsidR="005C0AAB" w:rsidRPr="005C0AAB" w:rsidRDefault="005C0AAB" w:rsidP="005C0AAB">
      <w:pPr>
        <w:rPr>
          <w:rFonts w:ascii="Arial" w:hAnsi="Arial" w:cs="Arial"/>
        </w:rPr>
      </w:pPr>
      <w:r w:rsidRPr="005C0AAB">
        <w:rPr>
          <w:rFonts w:ascii="Arial" w:hAnsi="Arial" w:cs="Arial"/>
        </w:rPr>
        <w:t xml:space="preserve">Caires RA, Marques IDB, Repizo LP, et al. De novo thrombotic microangiopathy after kidney transplantation: Clinical features, treatment, and long-term patient and graft survival.  </w:t>
      </w:r>
      <w:r w:rsidRPr="005C0AAB">
        <w:rPr>
          <w:rFonts w:ascii="Arial" w:hAnsi="Arial" w:cs="Arial"/>
          <w:i/>
        </w:rPr>
        <w:t>Transplant P</w:t>
      </w:r>
      <w:r w:rsidRPr="005C0AAB">
        <w:rPr>
          <w:rFonts w:ascii="Arial" w:hAnsi="Arial" w:cs="Arial"/>
        </w:rPr>
        <w:t>.  2012;44:2388-2392.</w:t>
      </w:r>
    </w:p>
    <w:p w14:paraId="5969151F" w14:textId="77777777" w:rsidR="005C0AAB" w:rsidRPr="005C0AAB" w:rsidRDefault="005C0AAB" w:rsidP="005C0AAB">
      <w:pPr>
        <w:rPr>
          <w:rFonts w:ascii="Arial" w:hAnsi="Arial" w:cs="Arial"/>
        </w:rPr>
      </w:pPr>
    </w:p>
    <w:p w14:paraId="2F5C2C51" w14:textId="77777777" w:rsidR="005C0AAB" w:rsidRPr="005C0AAB" w:rsidRDefault="005C0AAB" w:rsidP="005C0AAB">
      <w:pPr>
        <w:rPr>
          <w:rFonts w:ascii="Arial" w:hAnsi="Arial" w:cs="Arial"/>
        </w:rPr>
      </w:pPr>
      <w:r w:rsidRPr="005C0AAB">
        <w:rPr>
          <w:rFonts w:ascii="Arial" w:hAnsi="Arial" w:cs="Arial"/>
        </w:rPr>
        <w:t xml:space="preserve">Cortina G, Trojer R, Waldegger S, Schneeberger S, Gut N, Hofer J.  De novo tacrolimus-induced thrombotic microangiopathy in the early stage after renal transplantation successfully treated with conversion to everolimus.  </w:t>
      </w:r>
      <w:r w:rsidRPr="005C0AAB">
        <w:rPr>
          <w:rFonts w:ascii="Arial" w:hAnsi="Arial" w:cs="Arial"/>
          <w:i/>
        </w:rPr>
        <w:t>Pediatr Nephrol</w:t>
      </w:r>
      <w:r w:rsidRPr="005C0AAB">
        <w:rPr>
          <w:rFonts w:ascii="Arial" w:hAnsi="Arial" w:cs="Arial"/>
        </w:rPr>
        <w:t>.  2015;30:693-697.</w:t>
      </w:r>
    </w:p>
    <w:p w14:paraId="7E1CE209" w14:textId="77777777" w:rsidR="005C0AAB" w:rsidRPr="005C0AAB" w:rsidRDefault="005C0AAB" w:rsidP="005C0AAB">
      <w:pPr>
        <w:rPr>
          <w:rFonts w:ascii="Arial" w:hAnsi="Arial" w:cs="Arial"/>
        </w:rPr>
      </w:pPr>
    </w:p>
    <w:p w14:paraId="35185F78" w14:textId="77777777" w:rsidR="005C0AAB" w:rsidRPr="005C0AAB" w:rsidRDefault="005C0AAB" w:rsidP="005C0AAB">
      <w:pPr>
        <w:rPr>
          <w:rFonts w:ascii="Arial" w:hAnsi="Arial" w:cs="Arial"/>
        </w:rPr>
      </w:pPr>
      <w:r w:rsidRPr="005C0AAB">
        <w:rPr>
          <w:rFonts w:ascii="Arial" w:hAnsi="Arial" w:cs="Arial"/>
        </w:rPr>
        <w:t xml:space="preserve">Dhakal P, Giri S, Pathak R, Baatt VR.  Eculizumab in transplant-associated thrombotic microangiopathy.  </w:t>
      </w:r>
      <w:r w:rsidRPr="005C0AAB">
        <w:rPr>
          <w:rFonts w:ascii="Arial" w:hAnsi="Arial" w:cs="Arial"/>
          <w:i/>
        </w:rPr>
        <w:t xml:space="preserve">Clin Appl Thromb-Hem.  </w:t>
      </w:r>
      <w:r w:rsidRPr="005C0AAB">
        <w:rPr>
          <w:rFonts w:ascii="Arial" w:hAnsi="Arial" w:cs="Arial"/>
        </w:rPr>
        <w:t>2017;23(2):175-180.</w:t>
      </w:r>
    </w:p>
    <w:p w14:paraId="03133D2A" w14:textId="77777777" w:rsidR="005C0AAB" w:rsidRPr="005C0AAB" w:rsidRDefault="005C0AAB" w:rsidP="005C0AAB">
      <w:pPr>
        <w:rPr>
          <w:rFonts w:ascii="Arial" w:hAnsi="Arial" w:cs="Arial"/>
        </w:rPr>
      </w:pPr>
    </w:p>
    <w:p w14:paraId="141E1B13" w14:textId="77777777" w:rsidR="005C0AAB" w:rsidRPr="005C0AAB" w:rsidRDefault="005C0AAB" w:rsidP="005C0AAB">
      <w:pPr>
        <w:rPr>
          <w:rFonts w:ascii="Arial" w:hAnsi="Arial" w:cs="Arial"/>
        </w:rPr>
      </w:pPr>
      <w:r w:rsidRPr="005C0AAB">
        <w:rPr>
          <w:rFonts w:ascii="Arial" w:hAnsi="Arial" w:cs="Arial"/>
        </w:rPr>
        <w:t xml:space="preserve">Garg N, Rennke HG, Pavlakis M, Znadi-Nejad K.  De novo thrombotic microangiopathy after kidney transplantation.  </w:t>
      </w:r>
      <w:r w:rsidRPr="005C0AAB">
        <w:rPr>
          <w:rFonts w:ascii="Arial" w:hAnsi="Arial" w:cs="Arial"/>
          <w:i/>
        </w:rPr>
        <w:t>Transplant Rev</w:t>
      </w:r>
      <w:r w:rsidRPr="005C0AAB">
        <w:rPr>
          <w:rFonts w:ascii="Arial" w:hAnsi="Arial" w:cs="Arial"/>
        </w:rPr>
        <w:t>.  2018;32:58-68.</w:t>
      </w:r>
    </w:p>
    <w:p w14:paraId="62015ED3" w14:textId="77777777" w:rsidR="005C0AAB" w:rsidRPr="005C0AAB" w:rsidRDefault="005C0AAB" w:rsidP="005C0AAB">
      <w:pPr>
        <w:rPr>
          <w:rFonts w:ascii="Arial" w:hAnsi="Arial" w:cs="Arial"/>
        </w:rPr>
      </w:pPr>
    </w:p>
    <w:p w14:paraId="699FBAF6" w14:textId="77777777" w:rsidR="005C0AAB" w:rsidRPr="005C0AAB" w:rsidRDefault="005C0AAB" w:rsidP="005C0AAB">
      <w:pPr>
        <w:rPr>
          <w:rFonts w:ascii="Arial" w:hAnsi="Arial" w:cs="Arial"/>
        </w:rPr>
      </w:pPr>
      <w:r w:rsidRPr="005C0AAB">
        <w:rPr>
          <w:rFonts w:ascii="Arial" w:hAnsi="Arial" w:cs="Arial"/>
        </w:rPr>
        <w:t xml:space="preserve">“Managing the Risk of Meningococcal Disease among Patients Who Receive Complement Inhibitor Therapy.”  </w:t>
      </w:r>
      <w:r w:rsidRPr="005C0AAB">
        <w:rPr>
          <w:rFonts w:ascii="Arial" w:hAnsi="Arial" w:cs="Arial"/>
          <w:i/>
        </w:rPr>
        <w:t>Centers for Disease Control and Prevention</w:t>
      </w:r>
      <w:r w:rsidRPr="005C0AAB">
        <w:rPr>
          <w:rFonts w:ascii="Arial" w:hAnsi="Arial" w:cs="Arial"/>
        </w:rPr>
        <w:t xml:space="preserve">.  Accessed August 12, 2019.  https://www.cdc.gov/meningococcal/clinical/eculizumab.html. </w:t>
      </w:r>
    </w:p>
    <w:p w14:paraId="2FD4684E" w14:textId="77777777" w:rsidR="005C0AAB" w:rsidRPr="005C0AAB" w:rsidRDefault="005C0AAB" w:rsidP="005C0AAB">
      <w:pPr>
        <w:rPr>
          <w:rFonts w:ascii="Arial" w:hAnsi="Arial" w:cs="Arial"/>
        </w:rPr>
      </w:pPr>
    </w:p>
    <w:p w14:paraId="02B23242" w14:textId="77777777" w:rsidR="005C0AAB" w:rsidRPr="005C0AAB" w:rsidRDefault="005C0AAB" w:rsidP="005C0AAB">
      <w:pPr>
        <w:rPr>
          <w:rFonts w:ascii="Arial" w:hAnsi="Arial" w:cs="Arial"/>
        </w:rPr>
      </w:pPr>
      <w:r w:rsidRPr="005C0AAB">
        <w:rPr>
          <w:rFonts w:ascii="Arial" w:hAnsi="Arial" w:cs="Arial"/>
        </w:rPr>
        <w:t xml:space="preserve">Nava F, Cappelli G, Mori G, et al.  Everolimus, cyclosporine, and thrombotic microangiopathy: Clinical role and preventive tools in renal transplantation.  </w:t>
      </w:r>
      <w:r w:rsidRPr="005C0AAB">
        <w:rPr>
          <w:rFonts w:ascii="Arial" w:hAnsi="Arial" w:cs="Arial"/>
          <w:i/>
        </w:rPr>
        <w:t>Transpl P</w:t>
      </w:r>
      <w:r w:rsidRPr="005C0AAB">
        <w:rPr>
          <w:rFonts w:ascii="Arial" w:hAnsi="Arial" w:cs="Arial"/>
        </w:rPr>
        <w:t xml:space="preserve">. 2014;46:2263-2268.  </w:t>
      </w:r>
    </w:p>
    <w:p w14:paraId="093ED11E" w14:textId="77777777" w:rsidR="005C0AAB" w:rsidRPr="005C0AAB" w:rsidRDefault="005C0AAB" w:rsidP="005C0AAB">
      <w:pPr>
        <w:rPr>
          <w:rFonts w:ascii="Arial" w:hAnsi="Arial" w:cs="Arial"/>
        </w:rPr>
      </w:pPr>
    </w:p>
    <w:p w14:paraId="49E915C9" w14:textId="77777777" w:rsidR="005C0AAB" w:rsidRPr="005C0AAB" w:rsidRDefault="005C0AAB" w:rsidP="005C0AAB">
      <w:pPr>
        <w:rPr>
          <w:rFonts w:ascii="Arial" w:hAnsi="Arial" w:cs="Arial"/>
        </w:rPr>
      </w:pPr>
      <w:r w:rsidRPr="005C0AAB">
        <w:rPr>
          <w:rFonts w:ascii="Arial" w:hAnsi="Arial" w:cs="Arial"/>
        </w:rPr>
        <w:t xml:space="preserve">Patel A, Knorr JP, Campos S, Khanmoradi K, Zaki RF, Braduaskaite G.  De novo thrombotic microangiopathy immediately after kidney transplant in patients without apparent risk factors.  </w:t>
      </w:r>
      <w:r w:rsidRPr="005C0AAB">
        <w:rPr>
          <w:rFonts w:ascii="Arial" w:hAnsi="Arial" w:cs="Arial"/>
          <w:i/>
        </w:rPr>
        <w:t>Exp lin Transplant</w:t>
      </w:r>
      <w:r w:rsidRPr="005C0AAB">
        <w:rPr>
          <w:rFonts w:ascii="Arial" w:hAnsi="Arial" w:cs="Arial"/>
        </w:rPr>
        <w:t>.  2016;2:230-234.</w:t>
      </w:r>
    </w:p>
    <w:p w14:paraId="0DF59F19" w14:textId="77777777" w:rsidR="005C0AAB" w:rsidRPr="005C0AAB" w:rsidRDefault="005C0AAB" w:rsidP="005C0AAB">
      <w:pPr>
        <w:rPr>
          <w:rFonts w:ascii="Arial" w:hAnsi="Arial" w:cs="Arial"/>
        </w:rPr>
      </w:pPr>
    </w:p>
    <w:p w14:paraId="22E53988" w14:textId="77777777" w:rsidR="005C0AAB" w:rsidRPr="005C0AAB" w:rsidRDefault="005C0AAB" w:rsidP="005C0AAB">
      <w:pPr>
        <w:rPr>
          <w:rFonts w:ascii="Arial" w:hAnsi="Arial" w:cs="Arial"/>
        </w:rPr>
      </w:pPr>
      <w:r w:rsidRPr="005C0AAB">
        <w:rPr>
          <w:rFonts w:ascii="Arial" w:hAnsi="Arial" w:cs="Arial"/>
        </w:rPr>
        <w:t xml:space="preserve">Winthrop KL, Mariette X, Silva JT, Benamu E, Calabrese LH, Dumusc A, Smolen JS, Aguado JM, Fernández-Ruiz M.  ESCMID Study group for infections in compromised hosts (ESGICH) consensus document on the safety of targeted and biological therapies: An infectious diseases perspective (soluble immune effector molecules [II]: agents targeting interleukins, immunoglobulins and complement factors).  </w:t>
      </w:r>
      <w:r w:rsidRPr="005C0AAB">
        <w:rPr>
          <w:rFonts w:ascii="Arial" w:hAnsi="Arial" w:cs="Arial"/>
          <w:i/>
        </w:rPr>
        <w:t>Clin Microbiol Infect</w:t>
      </w:r>
      <w:r w:rsidRPr="005C0AAB">
        <w:rPr>
          <w:rFonts w:ascii="Arial" w:hAnsi="Arial" w:cs="Arial"/>
        </w:rPr>
        <w:t>.  2018;24:S21-S40.</w:t>
      </w:r>
    </w:p>
    <w:p w14:paraId="60E569C2" w14:textId="77777777" w:rsidR="006F1E72" w:rsidRDefault="006F1E72" w:rsidP="00D82ADA">
      <w:pPr>
        <w:rPr>
          <w:rFonts w:ascii="Arial" w:hAnsi="Arial" w:cs="Arial"/>
        </w:rPr>
      </w:pPr>
    </w:p>
    <w:p w14:paraId="4C1C9072" w14:textId="23DF3964" w:rsidR="00A973EE" w:rsidRPr="005C0AAB" w:rsidRDefault="005E39CF" w:rsidP="00D82ADA">
      <w:pPr>
        <w:rPr>
          <w:rFonts w:ascii="Arial" w:hAnsi="Arial" w:cs="Arial"/>
        </w:rPr>
      </w:pPr>
      <w:r w:rsidRPr="005E39CF">
        <w:rPr>
          <w:rFonts w:ascii="Arial" w:hAnsi="Arial" w:cs="Arial"/>
          <w:b/>
          <w:u w:val="single"/>
        </w:rPr>
        <w:t>KEY WORDS:</w:t>
      </w:r>
      <w:r w:rsidR="005C0AAB">
        <w:rPr>
          <w:rFonts w:ascii="Arial" w:hAnsi="Arial" w:cs="Arial"/>
        </w:rPr>
        <w:t xml:space="preserve">  </w:t>
      </w:r>
      <w:r w:rsidR="005C0AAB" w:rsidRPr="005C0AAB">
        <w:rPr>
          <w:rFonts w:ascii="Arial" w:hAnsi="Arial" w:cs="Arial"/>
        </w:rPr>
        <w:t>Thrombotic microangiopathy, TMA</w:t>
      </w:r>
    </w:p>
    <w:p w14:paraId="5C17203A" w14:textId="77777777" w:rsidR="006F1E72" w:rsidRDefault="006F1E72" w:rsidP="00D82ADA">
      <w:pPr>
        <w:rPr>
          <w:rFonts w:ascii="Arial" w:hAnsi="Arial" w:cs="Arial"/>
          <w:b/>
          <w:u w:val="single"/>
        </w:rPr>
      </w:pPr>
    </w:p>
    <w:sectPr w:rsidR="006F1E72"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6F03" w14:textId="77777777" w:rsidR="00480796" w:rsidRDefault="00480796" w:rsidP="00401E3E">
      <w:r>
        <w:separator/>
      </w:r>
    </w:p>
  </w:endnote>
  <w:endnote w:type="continuationSeparator" w:id="0">
    <w:p w14:paraId="5117EA2E" w14:textId="77777777" w:rsidR="00480796" w:rsidRDefault="00480796"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19156BDD" w:rsidR="00480796" w:rsidRPr="00246CC9" w:rsidRDefault="005C0AAB" w:rsidP="00120DE3">
    <w:pPr>
      <w:pStyle w:val="Footer"/>
      <w:tabs>
        <w:tab w:val="clear" w:pos="4680"/>
        <w:tab w:val="clear" w:pos="9360"/>
        <w:tab w:val="right" w:pos="10368"/>
      </w:tabs>
      <w:rPr>
        <w:rFonts w:ascii="Arial" w:hAnsi="Arial" w:cs="Arial"/>
        <w:sz w:val="16"/>
        <w:szCs w:val="16"/>
      </w:rPr>
    </w:pPr>
    <w:r w:rsidRPr="005C0AAB">
      <w:rPr>
        <w:rFonts w:ascii="Arial" w:hAnsi="Arial" w:cs="Arial"/>
        <w:sz w:val="16"/>
        <w:szCs w:val="16"/>
      </w:rPr>
      <w:t>Kidney and Pancreas Post-transplant Management of DeNovo Thrombotic Microangiopathy (TMA)</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Pr>
        <w:rFonts w:ascii="Arial" w:hAnsi="Arial" w:cs="Arial"/>
        <w:noProof/>
        <w:sz w:val="16"/>
      </w:rPr>
      <w:t>2</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Pr>
        <w:rFonts w:ascii="Arial" w:hAnsi="Arial" w:cs="Arial"/>
        <w:noProof/>
        <w:sz w:val="16"/>
      </w:rPr>
      <w:t>4</w:t>
    </w:r>
    <w:r w:rsidR="00480796" w:rsidRPr="00246C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850F" w14:textId="77777777" w:rsidR="00480796" w:rsidRDefault="00480796" w:rsidP="00401E3E">
      <w:r>
        <w:separator/>
      </w:r>
    </w:p>
  </w:footnote>
  <w:footnote w:type="continuationSeparator" w:id="0">
    <w:p w14:paraId="31F3FDC3" w14:textId="77777777" w:rsidR="00480796" w:rsidRDefault="00480796"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5FA1"/>
    <w:multiLevelType w:val="hybridMultilevel"/>
    <w:tmpl w:val="E138D3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07E4A"/>
    <w:multiLevelType w:val="hybridMultilevel"/>
    <w:tmpl w:val="7F1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D1AB7"/>
    <w:multiLevelType w:val="hybridMultilevel"/>
    <w:tmpl w:val="CE0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1101F"/>
    <w:multiLevelType w:val="multilevel"/>
    <w:tmpl w:val="588C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17"/>
  </w:num>
  <w:num w:numId="6">
    <w:abstractNumId w:val="4"/>
  </w:num>
  <w:num w:numId="7">
    <w:abstractNumId w:val="9"/>
  </w:num>
  <w:num w:numId="8">
    <w:abstractNumId w:val="12"/>
  </w:num>
  <w:num w:numId="9">
    <w:abstractNumId w:val="15"/>
  </w:num>
  <w:num w:numId="10">
    <w:abstractNumId w:val="13"/>
  </w:num>
  <w:num w:numId="11">
    <w:abstractNumId w:val="6"/>
  </w:num>
  <w:num w:numId="12">
    <w:abstractNumId w:val="10"/>
  </w:num>
  <w:num w:numId="13">
    <w:abstractNumId w:val="5"/>
  </w:num>
  <w:num w:numId="14">
    <w:abstractNumId w:val="8"/>
  </w:num>
  <w:num w:numId="15">
    <w:abstractNumId w:val="1"/>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C53F2"/>
    <w:rsid w:val="001F3959"/>
    <w:rsid w:val="001F57BC"/>
    <w:rsid w:val="00233309"/>
    <w:rsid w:val="00246CC9"/>
    <w:rsid w:val="0025127C"/>
    <w:rsid w:val="00256706"/>
    <w:rsid w:val="002748A1"/>
    <w:rsid w:val="002D108E"/>
    <w:rsid w:val="002E271B"/>
    <w:rsid w:val="002F6E47"/>
    <w:rsid w:val="00333E04"/>
    <w:rsid w:val="00336321"/>
    <w:rsid w:val="00382155"/>
    <w:rsid w:val="00393227"/>
    <w:rsid w:val="003A4628"/>
    <w:rsid w:val="003B5761"/>
    <w:rsid w:val="003B7ECF"/>
    <w:rsid w:val="003C28C8"/>
    <w:rsid w:val="003C503D"/>
    <w:rsid w:val="003E6AFD"/>
    <w:rsid w:val="00401E3E"/>
    <w:rsid w:val="004126E0"/>
    <w:rsid w:val="00416B26"/>
    <w:rsid w:val="00480796"/>
    <w:rsid w:val="004B1E9F"/>
    <w:rsid w:val="004B4F03"/>
    <w:rsid w:val="004C0BC9"/>
    <w:rsid w:val="00576F37"/>
    <w:rsid w:val="005819A1"/>
    <w:rsid w:val="00583551"/>
    <w:rsid w:val="005C0AAB"/>
    <w:rsid w:val="005E39CF"/>
    <w:rsid w:val="00603A28"/>
    <w:rsid w:val="00614208"/>
    <w:rsid w:val="00614AEB"/>
    <w:rsid w:val="00633FB9"/>
    <w:rsid w:val="006D430A"/>
    <w:rsid w:val="006E1DF5"/>
    <w:rsid w:val="006E2CC2"/>
    <w:rsid w:val="006E75BD"/>
    <w:rsid w:val="006F1E72"/>
    <w:rsid w:val="006F63C5"/>
    <w:rsid w:val="00713C08"/>
    <w:rsid w:val="00715B6F"/>
    <w:rsid w:val="00734CC6"/>
    <w:rsid w:val="00757FDD"/>
    <w:rsid w:val="00760338"/>
    <w:rsid w:val="0079159D"/>
    <w:rsid w:val="007D511F"/>
    <w:rsid w:val="00814D3F"/>
    <w:rsid w:val="008241EB"/>
    <w:rsid w:val="00852000"/>
    <w:rsid w:val="00875DA7"/>
    <w:rsid w:val="0089061D"/>
    <w:rsid w:val="008D7768"/>
    <w:rsid w:val="009006C3"/>
    <w:rsid w:val="009604D2"/>
    <w:rsid w:val="00963E08"/>
    <w:rsid w:val="00985475"/>
    <w:rsid w:val="009A336F"/>
    <w:rsid w:val="009F5419"/>
    <w:rsid w:val="00A03BB9"/>
    <w:rsid w:val="00A37CE8"/>
    <w:rsid w:val="00A85449"/>
    <w:rsid w:val="00A96893"/>
    <w:rsid w:val="00A973EE"/>
    <w:rsid w:val="00AE1A4C"/>
    <w:rsid w:val="00B151A5"/>
    <w:rsid w:val="00B33F1F"/>
    <w:rsid w:val="00B73833"/>
    <w:rsid w:val="00B84D55"/>
    <w:rsid w:val="00BB723E"/>
    <w:rsid w:val="00BE1C28"/>
    <w:rsid w:val="00BF3DB6"/>
    <w:rsid w:val="00C05CA7"/>
    <w:rsid w:val="00C07430"/>
    <w:rsid w:val="00C30C5D"/>
    <w:rsid w:val="00C85AB2"/>
    <w:rsid w:val="00D31825"/>
    <w:rsid w:val="00D328E3"/>
    <w:rsid w:val="00D3467A"/>
    <w:rsid w:val="00D653C1"/>
    <w:rsid w:val="00D77BEA"/>
    <w:rsid w:val="00D82ADA"/>
    <w:rsid w:val="00D877F7"/>
    <w:rsid w:val="00DB0275"/>
    <w:rsid w:val="00DB6E7A"/>
    <w:rsid w:val="00DD03E3"/>
    <w:rsid w:val="00DF0384"/>
    <w:rsid w:val="00DF5DAD"/>
    <w:rsid w:val="00E34C80"/>
    <w:rsid w:val="00E423C9"/>
    <w:rsid w:val="00E738BE"/>
    <w:rsid w:val="00E90DA4"/>
    <w:rsid w:val="00EC0A28"/>
    <w:rsid w:val="00ED23B3"/>
    <w:rsid w:val="00EF6564"/>
    <w:rsid w:val="00F25CCE"/>
    <w:rsid w:val="00F31EFD"/>
    <w:rsid w:val="00F42056"/>
    <w:rsid w:val="00F50CD4"/>
    <w:rsid w:val="00F5301C"/>
    <w:rsid w:val="00F7188F"/>
    <w:rsid w:val="00F747D4"/>
    <w:rsid w:val="00F802BC"/>
    <w:rsid w:val="00F9095C"/>
    <w:rsid w:val="00FA31CD"/>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809E2D"/>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1"/>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 w:type="character" w:styleId="Emphasis">
    <w:name w:val="Emphasis"/>
    <w:basedOn w:val="DefaultParagraphFont"/>
    <w:uiPriority w:val="20"/>
    <w:qFormat/>
    <w:rsid w:val="005C0AA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1421-6C30-4045-8C47-83D5930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Begley, Beth</cp:lastModifiedBy>
  <cp:revision>2</cp:revision>
  <cp:lastPrinted>2017-08-22T18:23:00Z</cp:lastPrinted>
  <dcterms:created xsi:type="dcterms:W3CDTF">2020-10-30T14:19:00Z</dcterms:created>
  <dcterms:modified xsi:type="dcterms:W3CDTF">2020-10-30T14:19:00Z</dcterms:modified>
</cp:coreProperties>
</file>