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6"/>
        <w:gridCol w:w="4674"/>
      </w:tblGrid>
      <w:tr w:rsidR="00DA3F57" w:rsidRPr="00633B9D" w:rsidTr="00DA3F57">
        <w:trPr>
          <w:tblCellSpacing w:w="0" w:type="dxa"/>
        </w:trPr>
        <w:tc>
          <w:tcPr>
            <w:tcW w:w="5400" w:type="dxa"/>
            <w:shd w:val="clear" w:color="auto" w:fill="FFFFFF"/>
            <w:hideMark/>
          </w:tcPr>
          <w:p w:rsidR="00DA3F57" w:rsidRPr="00DA3F57" w:rsidRDefault="00DA3F57" w:rsidP="00DA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F5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Active</w:t>
            </w:r>
          </w:p>
        </w:tc>
        <w:tc>
          <w:tcPr>
            <w:tcW w:w="5400" w:type="dxa"/>
            <w:shd w:val="clear" w:color="auto" w:fill="FFFFFF"/>
            <w:hideMark/>
          </w:tcPr>
          <w:p w:rsidR="00DA3F57" w:rsidRPr="00DA3F57" w:rsidRDefault="002C0AC3" w:rsidP="00DA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B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euhnotes.eushc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uhnotes.eushc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F57" w:rsidRPr="00633B9D" w:rsidTr="00DA3F57">
        <w:trPr>
          <w:tblCellSpacing w:w="0" w:type="dxa"/>
        </w:trPr>
        <w:tc>
          <w:tcPr>
            <w:tcW w:w="5400" w:type="dxa"/>
            <w:shd w:val="clear" w:color="auto" w:fill="FFFFFF"/>
            <w:hideMark/>
          </w:tcPr>
          <w:p w:rsidR="00DA3F57" w:rsidRPr="00DA3F57" w:rsidRDefault="00DA3F57" w:rsidP="00DA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Emory University Hospital</w:t>
            </w:r>
            <w:r w:rsidRPr="00D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Emory Transplant Center Policies &amp; Procedures</w:t>
            </w:r>
          </w:p>
        </w:tc>
        <w:tc>
          <w:tcPr>
            <w:tcW w:w="5400" w:type="dxa"/>
            <w:shd w:val="clear" w:color="auto" w:fill="FFFFFF"/>
            <w:hideMark/>
          </w:tcPr>
          <w:p w:rsidR="00DA3F57" w:rsidRPr="00DA3F57" w:rsidRDefault="00DA3F57" w:rsidP="00DA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Activated:</w:t>
            </w:r>
            <w:r w:rsidRPr="00D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02/05/2015</w:t>
            </w:r>
          </w:p>
        </w:tc>
      </w:tr>
      <w:tr w:rsidR="00DA3F57" w:rsidRPr="00633B9D" w:rsidTr="00DA3F57">
        <w:trPr>
          <w:tblCellSpacing w:w="0" w:type="dxa"/>
        </w:trPr>
        <w:tc>
          <w:tcPr>
            <w:tcW w:w="5400" w:type="dxa"/>
            <w:shd w:val="clear" w:color="auto" w:fill="FFFFFF"/>
            <w:hideMark/>
          </w:tcPr>
          <w:p w:rsidR="00DA3F57" w:rsidRPr="00DA3F57" w:rsidRDefault="00DA3F57" w:rsidP="00DA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Section: </w:t>
            </w:r>
            <w:r w:rsidRPr="00D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 and Pancreas Transplant Programs</w:t>
            </w:r>
          </w:p>
        </w:tc>
        <w:tc>
          <w:tcPr>
            <w:tcW w:w="5400" w:type="dxa"/>
            <w:shd w:val="clear" w:color="auto" w:fill="FFFFFF"/>
            <w:hideMark/>
          </w:tcPr>
          <w:p w:rsidR="00DA3F57" w:rsidRPr="00DA3F57" w:rsidRDefault="00DA3F57" w:rsidP="0093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Last Review Date:</w:t>
            </w:r>
            <w:r w:rsidRPr="00DA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  <w:r w:rsidR="0093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="001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3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/2017</w:t>
            </w:r>
          </w:p>
        </w:tc>
      </w:tr>
    </w:tbl>
    <w:p w:rsidR="00DA3F57" w:rsidRPr="00DA3F57" w:rsidRDefault="00DA3F57" w:rsidP="00DA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Policy: Kidney Living Donor: Medical Selection Criteria Guidelines for Living Kidney Donors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Statement: </w:t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1. Activation date: 2/8/06</w:t>
      </w:r>
    </w:p>
    <w:p w:rsidR="00DA3F57" w:rsidRPr="00DA3F57" w:rsidRDefault="00DA3F57" w:rsidP="00DA3F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2. Affected Department: Kidney and Pancreas Transplant Program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3. Vision Strategy: Patient Care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Policy Statement: The Emory Transplant Center will comply with all applicable federal, state and local laws, regulations and policies regarding the management of prescribing medications and refills. 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5. Basis: These guidelines are necessary for the protection of patients, physicians and staff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6. Administrative Responsibility: Section heads, physicians, practitioners, and staff are responsible for compliance with this policy.</w:t>
      </w:r>
    </w:p>
    <w:p w:rsidR="00BE22A1" w:rsidRDefault="00DA3F57" w:rsidP="00DA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Scope/Procedure: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Guidelines</w:t>
      </w:r>
      <w:r w:rsidR="00636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for Living Donor Selection</w:t>
      </w:r>
      <w:r w:rsidRPr="00DA3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BE22A1" w:rsidRPr="00DA3F57" w:rsidRDefault="00BE22A1" w:rsidP="00DA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A1" w:rsidRPr="00BE22A1" w:rsidRDefault="00DA3F57" w:rsidP="002A2A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2A1">
        <w:rPr>
          <w:rFonts w:ascii="Times New Roman" w:eastAsia="Times New Roman" w:hAnsi="Times New Roman" w:cs="Times New Roman"/>
          <w:color w:val="000000"/>
          <w:sz w:val="27"/>
          <w:szCs w:val="27"/>
        </w:rPr>
        <w:t>Age – Donors must be at least 18 years of age.</w:t>
      </w:r>
    </w:p>
    <w:p w:rsidR="00BE22A1" w:rsidRPr="002A2AEF" w:rsidRDefault="00DA3F57" w:rsidP="002A2A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F">
        <w:rPr>
          <w:rFonts w:ascii="Times New Roman" w:eastAsia="Times New Roman" w:hAnsi="Times New Roman" w:cs="Times New Roman"/>
          <w:color w:val="000000"/>
          <w:sz w:val="27"/>
          <w:szCs w:val="27"/>
        </w:rPr>
        <w:t>Renal function – Normal renal function.</w:t>
      </w:r>
    </w:p>
    <w:p w:rsidR="00BE22A1" w:rsidRDefault="00DA3F57" w:rsidP="002A2A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F">
        <w:rPr>
          <w:rFonts w:ascii="Times New Roman" w:eastAsia="Times New Roman" w:hAnsi="Times New Roman" w:cs="Times New Roman"/>
          <w:color w:val="000000"/>
          <w:sz w:val="27"/>
          <w:szCs w:val="27"/>
        </w:rPr>
        <w:t>Body Mass Index</w:t>
      </w:r>
    </w:p>
    <w:p w:rsidR="00BE22A1" w:rsidRPr="002A2AEF" w:rsidRDefault="00BE22A1" w:rsidP="002A2AE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DC1">
        <w:rPr>
          <w:rFonts w:ascii="Times New Roman" w:eastAsia="Times New Roman" w:hAnsi="Times New Roman" w:cs="Times New Roman"/>
          <w:color w:val="000000"/>
          <w:sz w:val="27"/>
          <w:szCs w:val="27"/>
        </w:rPr>
        <w:t>i) ≤ 38 for evaluation</w:t>
      </w:r>
      <w:r w:rsidRPr="00636D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6DC1">
        <w:rPr>
          <w:rFonts w:ascii="Times New Roman" w:eastAsia="Times New Roman" w:hAnsi="Times New Roman" w:cs="Times New Roman"/>
          <w:color w:val="000000"/>
          <w:sz w:val="27"/>
          <w:szCs w:val="27"/>
        </w:rPr>
        <w:t>ii) ≤ 35 for surgery</w:t>
      </w:r>
    </w:p>
    <w:p w:rsidR="00BE22A1" w:rsidRPr="00BE22A1" w:rsidRDefault="00BE22A1" w:rsidP="00BE22A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2A1">
        <w:rPr>
          <w:rFonts w:ascii="Times New Roman" w:eastAsia="Times New Roman" w:hAnsi="Times New Roman" w:cs="Times New Roman"/>
          <w:color w:val="000000"/>
          <w:sz w:val="27"/>
          <w:szCs w:val="27"/>
        </w:rPr>
        <w:t>Anatomic factors</w:t>
      </w:r>
    </w:p>
    <w:p w:rsidR="002A2AEF" w:rsidRDefault="00DA3F57" w:rsidP="002A2AEF"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430BD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Kidney size differential will be evaluated by CTA, MRI, or Mag3 scanning. If the donor is to be left with a residual functioning renal mass of &lt;45 % of the original renal mass, the team will determine suitability.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ii</w:t>
      </w:r>
      <w:r w:rsidR="00430BD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Non-malignant renal </w:t>
      </w:r>
      <w:r w:rsidR="0093749B">
        <w:rPr>
          <w:rFonts w:ascii="Times New Roman" w:eastAsia="Times New Roman" w:hAnsi="Times New Roman" w:cs="Times New Roman"/>
          <w:color w:val="000000"/>
          <w:sz w:val="27"/>
          <w:szCs w:val="27"/>
        </w:rPr>
        <w:t>lesion</w:t>
      </w:r>
      <w:r w:rsidR="0093749B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 </w:t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patients with small benign </w:t>
      </w:r>
      <w:r w:rsidR="0093749B">
        <w:rPr>
          <w:rFonts w:ascii="Times New Roman" w:eastAsia="Times New Roman" w:hAnsi="Times New Roman" w:cs="Times New Roman"/>
          <w:color w:val="000000"/>
          <w:sz w:val="27"/>
          <w:szCs w:val="27"/>
        </w:rPr>
        <w:t>lesion</w:t>
      </w:r>
      <w:r w:rsidR="0093749B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 </w:t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(with histological confirmation) may be considered providing the affected kidney is removed for transplantation. The </w:t>
      </w:r>
      <w:r w:rsidR="0093749B">
        <w:rPr>
          <w:rFonts w:ascii="Times New Roman" w:eastAsia="Times New Roman" w:hAnsi="Times New Roman" w:cs="Times New Roman"/>
          <w:color w:val="000000"/>
          <w:sz w:val="27"/>
          <w:szCs w:val="27"/>
        </w:rPr>
        <w:t>lesion</w:t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may or may not be excised ex vivo at the discretion of the recipient surgeon.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iii</w:t>
      </w:r>
      <w:r w:rsidR="00430BD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Multiple arteries – acceptable at the discretion of the donor and recipient surgeons.</w:t>
      </w:r>
    </w:p>
    <w:p w:rsidR="002A2AEF" w:rsidRDefault="002A2AEF" w:rsidP="002A2AEF">
      <w:bookmarkStart w:id="0" w:name="_GoBack"/>
      <w:bookmarkEnd w:id="0"/>
    </w:p>
    <w:p w:rsidR="002A2AEF" w:rsidRPr="003C4FFC" w:rsidRDefault="002A2AEF" w:rsidP="003C4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C4FFC">
        <w:rPr>
          <w:rFonts w:ascii="Times New Roman" w:hAnsi="Times New Roman" w:cs="Times New Roman"/>
          <w:sz w:val="27"/>
          <w:szCs w:val="27"/>
        </w:rPr>
        <w:lastRenderedPageBreak/>
        <w:t>Past Medical History</w:t>
      </w:r>
    </w:p>
    <w:p w:rsidR="004940B7" w:rsidRDefault="00925C30" w:rsidP="003C4FF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Cardiac testing: </w:t>
      </w:r>
    </w:p>
    <w:p w:rsidR="004940B7" w:rsidRDefault="004940B7" w:rsidP="001422BF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An EKG will be performed on all potential donors </w:t>
      </w:r>
      <w:r w:rsidR="00027297">
        <w:rPr>
          <w:rFonts w:ascii="Times New Roman" w:hAnsi="Times New Roman" w:cs="Times New Roman"/>
          <w:sz w:val="27"/>
          <w:szCs w:val="27"/>
        </w:rPr>
        <w:t>during</w:t>
      </w:r>
      <w:r>
        <w:rPr>
          <w:rFonts w:ascii="Times New Roman" w:hAnsi="Times New Roman" w:cs="Times New Roman"/>
          <w:sz w:val="27"/>
          <w:szCs w:val="27"/>
        </w:rPr>
        <w:t xml:space="preserve"> evaluation.</w:t>
      </w:r>
    </w:p>
    <w:p w:rsidR="001422BF" w:rsidRDefault="004940B7" w:rsidP="001422BF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 </w:t>
      </w:r>
      <w:r w:rsidR="003C4FFC">
        <w:rPr>
          <w:rFonts w:ascii="Times New Roman" w:hAnsi="Times New Roman" w:cs="Times New Roman"/>
          <w:sz w:val="27"/>
          <w:szCs w:val="27"/>
        </w:rPr>
        <w:t>transthoracic echocardiogram and a stress test</w:t>
      </w:r>
      <w:r>
        <w:rPr>
          <w:rFonts w:ascii="Times New Roman" w:hAnsi="Times New Roman" w:cs="Times New Roman"/>
          <w:sz w:val="27"/>
          <w:szCs w:val="27"/>
        </w:rPr>
        <w:t xml:space="preserve"> will be per</w:t>
      </w:r>
      <w:r w:rsidR="00027297">
        <w:rPr>
          <w:rFonts w:ascii="Times New Roman" w:hAnsi="Times New Roman" w:cs="Times New Roman"/>
          <w:sz w:val="27"/>
          <w:szCs w:val="27"/>
        </w:rPr>
        <w:t xml:space="preserve">formed on potential donors age </w:t>
      </w:r>
      <w:r>
        <w:rPr>
          <w:rFonts w:ascii="Times New Roman" w:hAnsi="Times New Roman" w:cs="Times New Roman"/>
          <w:sz w:val="27"/>
          <w:szCs w:val="27"/>
        </w:rPr>
        <w:t>50</w:t>
      </w:r>
      <w:r w:rsidR="00027297">
        <w:rPr>
          <w:rFonts w:ascii="Times New Roman" w:hAnsi="Times New Roman" w:cs="Times New Roman"/>
          <w:sz w:val="27"/>
          <w:szCs w:val="27"/>
        </w:rPr>
        <w:t xml:space="preserve"> and older</w:t>
      </w:r>
      <w:r w:rsidR="003C4FF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25C30" w:rsidRPr="003C4FFC" w:rsidRDefault="003C4FFC" w:rsidP="001422BF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</w:t>
      </w:r>
      <w:r w:rsidR="001422BF">
        <w:rPr>
          <w:rFonts w:ascii="Times New Roman" w:hAnsi="Times New Roman" w:cs="Times New Roman"/>
          <w:sz w:val="27"/>
          <w:szCs w:val="27"/>
        </w:rPr>
        <w:t xml:space="preserve">living donor team will determine the </w:t>
      </w:r>
      <w:r>
        <w:rPr>
          <w:rFonts w:ascii="Times New Roman" w:hAnsi="Times New Roman" w:cs="Times New Roman"/>
          <w:sz w:val="27"/>
          <w:szCs w:val="27"/>
        </w:rPr>
        <w:t>need for further</w:t>
      </w:r>
      <w:r w:rsidR="001422BF">
        <w:rPr>
          <w:rFonts w:ascii="Times New Roman" w:hAnsi="Times New Roman" w:cs="Times New Roman"/>
          <w:sz w:val="27"/>
          <w:szCs w:val="27"/>
        </w:rPr>
        <w:t xml:space="preserve"> cardiac testing</w:t>
      </w:r>
      <w:r w:rsidR="00027297">
        <w:rPr>
          <w:rFonts w:ascii="Times New Roman" w:hAnsi="Times New Roman" w:cs="Times New Roman"/>
          <w:sz w:val="27"/>
          <w:szCs w:val="27"/>
        </w:rPr>
        <w:t xml:space="preserve"> in individuals outside these criteria</w:t>
      </w:r>
      <w:r w:rsidR="001422BF">
        <w:rPr>
          <w:rFonts w:ascii="Times New Roman" w:hAnsi="Times New Roman" w:cs="Times New Roman"/>
          <w:sz w:val="27"/>
          <w:szCs w:val="27"/>
        </w:rPr>
        <w:t>.</w:t>
      </w:r>
    </w:p>
    <w:p w:rsidR="00DA3F57" w:rsidRDefault="00636DFE" w:rsidP="002A2A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i) 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HTN – patients with HTN well-controlled by low to moderate doses of medication </w:t>
      </w:r>
      <w:r w:rsid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(demonstrated by a normal 24 hr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BP monitor) may be considered if they meet the following criteria:</w:t>
      </w:r>
    </w:p>
    <w:p w:rsidR="00636DFE" w:rsidRPr="002A2AEF" w:rsidRDefault="00DA3F57" w:rsidP="002A2A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F">
        <w:rPr>
          <w:rFonts w:ascii="Times New Roman" w:eastAsia="Times New Roman" w:hAnsi="Times New Roman" w:cs="Times New Roman"/>
          <w:color w:val="000000"/>
          <w:sz w:val="27"/>
          <w:szCs w:val="27"/>
        </w:rPr>
        <w:t>Not African American</w:t>
      </w:r>
    </w:p>
    <w:p w:rsidR="00925C30" w:rsidRPr="00925C30" w:rsidRDefault="00DA3F57" w:rsidP="00925C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DFE">
        <w:rPr>
          <w:rFonts w:ascii="Times New Roman" w:eastAsia="Times New Roman" w:hAnsi="Times New Roman" w:cs="Times New Roman"/>
          <w:color w:val="000000"/>
          <w:sz w:val="27"/>
          <w:szCs w:val="27"/>
        </w:rPr>
        <w:t>No LVH by echocardiogram</w:t>
      </w:r>
    </w:p>
    <w:p w:rsidR="002A2AEF" w:rsidRDefault="002A2AEF" w:rsidP="002A2AE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690" w:rsidRDefault="00636DFE" w:rsidP="002A2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D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</w:t>
      </w:r>
      <w:r w:rsidR="00DA3F57" w:rsidRPr="00636DFE">
        <w:rPr>
          <w:rFonts w:ascii="Times New Roman" w:eastAsia="Times New Roman" w:hAnsi="Times New Roman" w:cs="Times New Roman"/>
          <w:color w:val="000000"/>
          <w:sz w:val="27"/>
          <w:szCs w:val="27"/>
        </w:rPr>
        <w:t>History of pre-eclampsia –</w:t>
      </w:r>
      <w:r w:rsid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DA3F57" w:rsidRPr="00636D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hould meet all other </w:t>
      </w:r>
      <w:r w:rsidRPr="00636D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selection </w:t>
      </w:r>
      <w:r w:rsidR="00DA3F57" w:rsidRPr="00636DFE">
        <w:rPr>
          <w:rFonts w:ascii="Times New Roman" w:eastAsia="Times New Roman" w:hAnsi="Times New Roman" w:cs="Times New Roman"/>
          <w:color w:val="000000"/>
          <w:sz w:val="27"/>
          <w:szCs w:val="27"/>
        </w:rPr>
        <w:t>criteria and be at least 1 year after</w:t>
      </w:r>
      <w:r w:rsidRPr="00636D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</w:t>
      </w:r>
      <w:r w:rsidR="00DA3F57" w:rsidRPr="00636D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pre-eclamptic episode.</w:t>
      </w:r>
      <w:r w:rsidR="002A2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16690" w:rsidRDefault="00F16690" w:rsidP="002A2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iii</w:t>
      </w:r>
      <w:r w:rsidRPr="00636D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DA3F57"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>Glucose metabolism – demonstration of a normal HgbA1c.</w:t>
      </w:r>
    </w:p>
    <w:p w:rsidR="002A2AEF" w:rsidRDefault="002A2AEF" w:rsidP="002A2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AEF" w:rsidRDefault="00F16690" w:rsidP="002A2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iv</w:t>
      </w:r>
      <w:r w:rsidRPr="00636D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DA3F57"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Renal calculi – donors with a history of renal stones may donate if they have a normal metabolic evaluation (Litholink®). </w:t>
      </w:r>
    </w:p>
    <w:p w:rsidR="00F16690" w:rsidRDefault="00DA3F57" w:rsidP="002A2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6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>v)</w:t>
      </w:r>
      <w:r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Family history of PCKD</w:t>
      </w:r>
      <w:r w:rsid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will consider donation if: </w:t>
      </w:r>
    </w:p>
    <w:p w:rsidR="00F16690" w:rsidRPr="00F16690" w:rsidRDefault="00DA3F57" w:rsidP="00F166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 30 years of age </w:t>
      </w:r>
      <w:r w:rsid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are no cysts by CT imaging.</w:t>
      </w:r>
    </w:p>
    <w:p w:rsidR="00F16690" w:rsidRPr="002A2AEF" w:rsidRDefault="00DA3F57" w:rsidP="00F166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>&lt; 30 years of age an</w:t>
      </w:r>
      <w:r w:rsidR="00430BD6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MRI </w:t>
      </w:r>
      <w:r w:rsid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>demonstrates</w:t>
      </w:r>
      <w:r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cysts </w:t>
      </w:r>
    </w:p>
    <w:p w:rsidR="002A2AEF" w:rsidRPr="00F16690" w:rsidRDefault="002A2AEF" w:rsidP="002A2AE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690" w:rsidRDefault="00F16690" w:rsidP="002A2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="00DA3F57"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DA3F57"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History of malignancies –</w:t>
      </w:r>
    </w:p>
    <w:p w:rsidR="00F16690" w:rsidRPr="00F16690" w:rsidRDefault="00DA3F57" w:rsidP="00F166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>squamous and basal cell skin cancers are not a contraindication to donation</w:t>
      </w:r>
    </w:p>
    <w:p w:rsidR="00D632CE" w:rsidRDefault="00DA3F57" w:rsidP="002A2A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>all other</w:t>
      </w:r>
      <w:r w:rsid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malignancies</w:t>
      </w:r>
      <w:r w:rsidRPr="00F16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be evaluated on a case by case basis.</w:t>
      </w:r>
    </w:p>
    <w:p w:rsidR="002A2AEF" w:rsidRPr="002A2AEF" w:rsidRDefault="002A2AEF" w:rsidP="002A2AE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3BA7" w:rsidRDefault="00B43BA7" w:rsidP="002A2A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vii) Health maintenance testing</w:t>
      </w:r>
      <w:r w:rsidR="00E13898" w:rsidRPr="00D77BB0">
        <w:rPr>
          <w:rFonts w:ascii="Times New Roman" w:eastAsia="Times New Roman" w:hAnsi="Times New Roman" w:cs="Times New Roman"/>
          <w:color w:val="000000"/>
          <w:sz w:val="27"/>
          <w:szCs w:val="27"/>
        </w:rPr>
        <w:t>:Additional testing at Emory or a local hospital/office should be obtained based on age, sex and medical guidelines. The</w:t>
      </w:r>
      <w:r w:rsidR="00D632CE" w:rsidRPr="00D77B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candidate</w:t>
      </w:r>
      <w:r w:rsidR="00E13898" w:rsidRPr="00D77B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need to have these records sent to their coordinator via mail or fax. It is the </w:t>
      </w:r>
      <w:r w:rsidR="00D632CE" w:rsidRPr="00D77B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candidate’s </w:t>
      </w:r>
      <w:r w:rsidR="00E13898" w:rsidRPr="00D77B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responsibility to communicate results. </w:t>
      </w:r>
    </w:p>
    <w:p w:rsidR="00B43BA7" w:rsidRPr="00B43BA7" w:rsidRDefault="00E13898" w:rsidP="00B43B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43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Colonoscopy:</w:t>
      </w:r>
      <w:r w:rsidRP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recommend that patients have a screening colonoscopy per American Gastroenterological Association guidelines (</w:t>
      </w:r>
      <w:hyperlink r:id="rId6" w:history="1">
        <w:r w:rsidRPr="00B43BA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http://www.gastrojournal.org/article/S0016-5085(08)00232-1/pdf</w:t>
        </w:r>
      </w:hyperlink>
      <w:r w:rsidRP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>). We will require all patients to have at least a screening colonoscopy at age 50.</w:t>
      </w:r>
    </w:p>
    <w:p w:rsidR="00B43BA7" w:rsidRPr="00B43BA7" w:rsidRDefault="00E13898" w:rsidP="00B43B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43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Mammogram</w:t>
      </w:r>
      <w:r w:rsidRP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>: We recommend that women have a bilateral mammogram per American College of Gynecology (ACOG) guidelines (</w:t>
      </w:r>
      <w:hyperlink r:id="rId7" w:history="1">
        <w:r w:rsidRPr="00B43BA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http://www.acog.org/About-ACOG/ACOG-Departments/Annual-Womens-Health-Care/Well-Woman-Recommendations</w:t>
        </w:r>
      </w:hyperlink>
      <w:r w:rsidRP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>). We will require all women age 40</w:t>
      </w:r>
      <w:r w:rsidR="0067577C" w:rsidRP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older</w:t>
      </w:r>
      <w:r w:rsidRP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at least one screening mammogram.</w:t>
      </w:r>
    </w:p>
    <w:p w:rsidR="00B43BA7" w:rsidRPr="00B43BA7" w:rsidRDefault="00E13898" w:rsidP="00B43B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43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GYN/PAP</w:t>
      </w:r>
      <w:r w:rsidRP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>: We recommend that women undergo a gynecologic exam and pap smear per the ACOG guidelines (</w:t>
      </w:r>
      <w:hyperlink r:id="rId8" w:history="1">
        <w:r w:rsidRPr="00B43BA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http://www.acog.org/About-ACOG/ACOG-Departments/Annual-Womens-Health-Care/Well-Woman-Recommendations</w:t>
        </w:r>
      </w:hyperlink>
      <w:r w:rsidRP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</w:p>
    <w:p w:rsidR="00E13898" w:rsidRPr="00581386" w:rsidRDefault="00E13898" w:rsidP="00B43B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43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PSA </w:t>
      </w:r>
      <w:r w:rsidR="00BF112D" w:rsidRP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>should be checked in males per American Urological Association screening guidelines (</w:t>
      </w:r>
      <w:hyperlink r:id="rId9" w:history="1">
        <w:r w:rsidR="00BF112D" w:rsidRPr="00B43BA7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https://www.auanet.org/common/pdf/education/clinical-guidance/Prostate-Cancer-Detection.pdf</w:t>
        </w:r>
      </w:hyperlink>
      <w:r w:rsidR="00BF112D" w:rsidRP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2A2AEF" w:rsidRPr="00B43BA7" w:rsidRDefault="002A2AEF" w:rsidP="0058138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A3F57" w:rsidRPr="00581386" w:rsidRDefault="00DA3F57" w:rsidP="0058138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Laboratory abnormalities </w:t>
      </w:r>
      <w:r w:rsidR="002A2AEF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</w:p>
    <w:p w:rsidR="002A2AEF" w:rsidRPr="00581386" w:rsidRDefault="002A2AEF" w:rsidP="005813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F57" w:rsidRPr="00DA3F57" w:rsidRDefault="00DA3F57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i. Proteinuria </w:t>
      </w:r>
    </w:p>
    <w:p w:rsidR="00BE22A1" w:rsidRPr="00BE22A1" w:rsidRDefault="00DA3F57" w:rsidP="00BE22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2A1">
        <w:rPr>
          <w:rFonts w:ascii="Times New Roman" w:eastAsia="Times New Roman" w:hAnsi="Times New Roman" w:cs="Times New Roman"/>
          <w:color w:val="000000"/>
          <w:sz w:val="27"/>
          <w:szCs w:val="27"/>
        </w:rPr>
        <w:t>&lt;180 mg on 24 hr urine is acceptable</w:t>
      </w:r>
    </w:p>
    <w:p w:rsidR="00BE22A1" w:rsidRPr="00BE22A1" w:rsidRDefault="00DA3F57" w:rsidP="00BE22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2A1">
        <w:rPr>
          <w:rFonts w:ascii="Times New Roman" w:eastAsia="Times New Roman" w:hAnsi="Times New Roman" w:cs="Times New Roman"/>
          <w:color w:val="000000"/>
          <w:sz w:val="27"/>
          <w:szCs w:val="27"/>
        </w:rPr>
        <w:t>181-250 mg – Order an albumin to Cr ratio on a spot urine. Patient may be a donor if value is &lt; 0.03</w:t>
      </w:r>
    </w:p>
    <w:p w:rsidR="00DA3F57" w:rsidRPr="00BE22A1" w:rsidRDefault="00DA3F57" w:rsidP="00BE22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2A1">
        <w:rPr>
          <w:rFonts w:ascii="Times New Roman" w:eastAsia="Times New Roman" w:hAnsi="Times New Roman" w:cs="Times New Roman"/>
          <w:color w:val="000000"/>
          <w:sz w:val="27"/>
          <w:szCs w:val="27"/>
        </w:rPr>
        <w:t>&gt;250 mg – not acceptable for donation</w:t>
      </w:r>
    </w:p>
    <w:p w:rsidR="00DA3F57" w:rsidRPr="00DA3F57" w:rsidRDefault="00DA3F57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ii. Persistent microscopic hematuria(UA x 2 with microscopy demonstrating &gt; 5 RBC/ hpf). Proceed with the following evaluation:</w:t>
      </w:r>
    </w:p>
    <w:p w:rsidR="00BE22A1" w:rsidRDefault="00DA3F57" w:rsidP="00BE22A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2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Cystoscopy and/or renal biopsy</w:t>
      </w:r>
    </w:p>
    <w:p w:rsidR="00D632CE" w:rsidRPr="00BE22A1" w:rsidRDefault="00DA3F57" w:rsidP="00BE22A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2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Consider urine cytolog</w:t>
      </w:r>
      <w:r w:rsidR="00D632CE" w:rsidRPr="00BE22A1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</w:p>
    <w:p w:rsidR="00D632CE" w:rsidRDefault="00D632CE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iii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Persistent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levated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iver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unction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tudies</w:t>
      </w:r>
    </w:p>
    <w:p w:rsidR="00DA3F57" w:rsidRPr="00581386" w:rsidRDefault="00DA3F57" w:rsidP="005813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Consult with hepatology to determine need for further evaluation</w:t>
      </w:r>
    </w:p>
    <w:p w:rsidR="00D632CE" w:rsidRDefault="00D632CE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iv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. Anemia/leukopenia/thrombocytopenia</w:t>
      </w:r>
    </w:p>
    <w:p w:rsidR="00DA3F57" w:rsidRPr="00581386" w:rsidRDefault="00DA3F57" w:rsidP="005813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Consider evaluation by a hematologist </w:t>
      </w:r>
    </w:p>
    <w:p w:rsidR="00581386" w:rsidRPr="00581386" w:rsidRDefault="00581386" w:rsidP="0058138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F57" w:rsidRPr="00581386" w:rsidRDefault="00DA3F57" w:rsidP="0058138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Psychological/social factors</w:t>
      </w:r>
    </w:p>
    <w:p w:rsidR="00581386" w:rsidRPr="00581386" w:rsidRDefault="00581386" w:rsidP="005813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F57" w:rsidRPr="00581386" w:rsidRDefault="00DA3F57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i. Ability to independently consent without coercion – as determined by Independent Living Donor Advocate (ILDA) who evaluates each donor candidate and makes recommendations to team utilizing the Donor Advocate Psychosocial Tool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ii. History of alcohol/drug dependence as determined by a mental health specialist – demonstrated abstinence and/or completion of a treatment program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iii. Unwillingness to accept blood product- Absolute Contraindication</w:t>
      </w:r>
    </w:p>
    <w:p w:rsidR="00581386" w:rsidRDefault="00581386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3F57" w:rsidRPr="00DA3F57" w:rsidRDefault="00581386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8.  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Infectious disease transmission</w:t>
      </w:r>
    </w:p>
    <w:p w:rsidR="00581386" w:rsidRDefault="00581386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32CE" w:rsidRDefault="00DA3F57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i. HIV – HIV is an absolute contraindication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ii. Hepatitis B </w:t>
      </w:r>
    </w:p>
    <w:p w:rsidR="00D632CE" w:rsidRPr="00581386" w:rsidRDefault="00DA3F57" w:rsidP="005813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HBsAg+ - absolute contraindication</w:t>
      </w:r>
    </w:p>
    <w:p w:rsidR="00BF112D" w:rsidRPr="00581386" w:rsidRDefault="00DA3F57" w:rsidP="005813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HBcAb+ - </w:t>
      </w:r>
      <w:r w:rsidR="00D632CE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cceptable if PCR is negative for Hep B and i</w:t>
      </w:r>
      <w:r w:rsidR="00D632CE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 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recipient is H</w:t>
      </w:r>
      <w:r w:rsidR="00430BD6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epatitis B immune.</w:t>
      </w:r>
    </w:p>
    <w:p w:rsidR="00DA3F57" w:rsidRPr="00DA3F57" w:rsidRDefault="00BF112D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iii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Hepatitis C – absolute contraindication </w:t>
      </w:r>
      <w:r w:rsidR="00DA3F57"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vi. Histoplasmosis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cceptable if disease manifested by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only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calcified granulomas</w:t>
      </w:r>
      <w:r w:rsidR="00DA3F57"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vii. Tuberculosis – Active TB is an absolute contraindication.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donors get a CXR and </w:t>
      </w:r>
      <w:r w:rsidR="003A69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candidates </w:t>
      </w:r>
      <w:r w:rsidR="00D77B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r w:rsidR="003A69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increased risk for TB infection </w:t>
      </w:r>
      <w:r w:rsidR="0093749B">
        <w:rPr>
          <w:rFonts w:ascii="Times New Roman" w:eastAsia="Times New Roman" w:hAnsi="Times New Roman" w:cs="Times New Roman"/>
          <w:color w:val="000000"/>
          <w:sz w:val="27"/>
          <w:szCs w:val="27"/>
        </w:rPr>
        <w:t>undergo quantiferon gold test</w:t>
      </w:r>
      <w:r w:rsid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r w:rsidR="003A69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Positive immunologic screening tests requires an ID consult and clearance.</w:t>
      </w:r>
      <w:r w:rsidR="00DA3F57"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viii. West Nile Virus – Need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negative for viremia by PCR during the peak season (April 1st – October 31st). </w:t>
      </w:r>
      <w:r w:rsidR="00DA3F57"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ix. Chagas- Screening per demographic history. Positive screen is an absolute contraindication.</w:t>
      </w:r>
      <w:r w:rsidR="00DA3F57"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x. Syphilis- Need </w:t>
      </w:r>
      <w:r w:rsidR="00430BD6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egative RPR. If RPR is positive requires an ID </w:t>
      </w:r>
      <w:r w:rsidR="009374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notification </w:t>
      </w:r>
      <w:r w:rsidR="00DA3F57"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and clearance.</w:t>
      </w:r>
    </w:p>
    <w:p w:rsidR="00581386" w:rsidRDefault="00581386" w:rsidP="0058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1386" w:rsidRDefault="00DA3F57" w:rsidP="0058138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8138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Additional </w:t>
      </w:r>
    </w:p>
    <w:p w:rsidR="00581386" w:rsidRPr="00581386" w:rsidRDefault="00581386" w:rsidP="005813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581386" w:rsidRPr="00581386" w:rsidRDefault="00DA3F57" w:rsidP="005813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Co-existing Conditions:</w:t>
      </w:r>
    </w:p>
    <w:p w:rsidR="00581386" w:rsidRPr="00581386" w:rsidRDefault="00DA3F57" w:rsidP="005813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Sarcoidosis – absolute contraindication</w:t>
      </w:r>
    </w:p>
    <w:p w:rsidR="00581386" w:rsidRDefault="00DA3F57" w:rsidP="005813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Multiple </w:t>
      </w:r>
      <w:r w:rsidR="00430BD6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clerosis- Requires a neurology consult and clearance</w:t>
      </w:r>
    </w:p>
    <w:p w:rsidR="00581386" w:rsidRDefault="00DA3F57" w:rsidP="005813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Chronic NSAID use: Need to demonstrate abstinence from NSAID use</w:t>
      </w:r>
    </w:p>
    <w:p w:rsidR="00581386" w:rsidRDefault="00DA3F57" w:rsidP="005813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Chronic </w:t>
      </w:r>
      <w:r w:rsidR="00430BD6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rthopedic </w:t>
      </w:r>
      <w:r w:rsidR="00430BD6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njuries(back/neck) need orthopedic clearance</w:t>
      </w:r>
    </w:p>
    <w:p w:rsidR="00581386" w:rsidRDefault="00DA3F57" w:rsidP="005813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Significant </w:t>
      </w:r>
      <w:r w:rsidR="00430BD6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istory of mental </w:t>
      </w:r>
      <w:r w:rsidR="00430BD6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llness requires mental health evaluation.</w:t>
      </w:r>
    </w:p>
    <w:p w:rsidR="00581386" w:rsidRDefault="00DA3F57" w:rsidP="005813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Significant </w:t>
      </w:r>
      <w:r w:rsidR="00430BD6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ardiovascular disease(s/p CABG, multiple coronary stents, s/p MI) is </w:t>
      </w:r>
      <w:r w:rsid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absolute contraindication</w:t>
      </w:r>
    </w:p>
    <w:p w:rsidR="00581386" w:rsidRDefault="00DA3F57" w:rsidP="005813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Current </w:t>
      </w:r>
      <w:r w:rsidR="00430BD6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nticoagulation therapy is a contraindication.</w:t>
      </w:r>
    </w:p>
    <w:p w:rsidR="00581386" w:rsidRDefault="00DA3F57" w:rsidP="005813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Pregnancy is an absolute contraindication. Patient can be considered </w:t>
      </w:r>
      <w:r w:rsidR="00852E21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6 months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after delivery.</w:t>
      </w:r>
    </w:p>
    <w:p w:rsidR="00581386" w:rsidRDefault="00DA3F57" w:rsidP="005813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Significant </w:t>
      </w:r>
      <w:r w:rsidR="00430BD6"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ulmonary disease(COPD) is an absolute contraindication</w:t>
      </w:r>
    </w:p>
    <w:p w:rsidR="00DA3F57" w:rsidRPr="00581386" w:rsidRDefault="00DA3F57" w:rsidP="005813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86">
        <w:rPr>
          <w:rFonts w:ascii="Times New Roman" w:eastAsia="Times New Roman" w:hAnsi="Times New Roman" w:cs="Times New Roman"/>
          <w:color w:val="000000"/>
          <w:sz w:val="27"/>
          <w:szCs w:val="27"/>
        </w:rPr>
        <w:t>Other co-existing medical conditions will be considered on a case by case basis</w:t>
      </w:r>
    </w:p>
    <w:p w:rsidR="00DA3F57" w:rsidRPr="00DA3F57" w:rsidRDefault="00DA3F57" w:rsidP="00DA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Approved by: 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Renal Leadership Team under the direction of: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Nicole Turgeon, MD, Director, Emory Renal Living Donor Program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Approval Dates: 2/8/06, 9/20/06, 5/28/2014 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7"/>
          <w:szCs w:val="27"/>
        </w:rPr>
        <w:t>Revision Date: 3/23/2011, 4/6/2011,5/28/2014</w:t>
      </w:r>
      <w:r w:rsidR="00B43BA7">
        <w:rPr>
          <w:rFonts w:ascii="Times New Roman" w:eastAsia="Times New Roman" w:hAnsi="Times New Roman" w:cs="Times New Roman"/>
          <w:color w:val="000000"/>
          <w:sz w:val="27"/>
          <w:szCs w:val="27"/>
        </w:rPr>
        <w:t>, 5/10/2017</w:t>
      </w:r>
      <w:r w:rsidR="003E0E3A">
        <w:rPr>
          <w:rFonts w:ascii="Times New Roman" w:eastAsia="Times New Roman" w:hAnsi="Times New Roman" w:cs="Times New Roman"/>
          <w:color w:val="000000"/>
          <w:sz w:val="27"/>
          <w:szCs w:val="27"/>
        </w:rPr>
        <w:t>, 5/31/2017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48"/>
        <w:gridCol w:w="7312"/>
      </w:tblGrid>
      <w:tr w:rsidR="00DA3F57" w:rsidRPr="00633B9D" w:rsidTr="00DA3F57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:rsidR="00DA3F57" w:rsidRPr="00DA3F57" w:rsidRDefault="00DA3F57" w:rsidP="00DA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Regulatory References:</w:t>
            </w:r>
          </w:p>
        </w:tc>
        <w:tc>
          <w:tcPr>
            <w:tcW w:w="8280" w:type="dxa"/>
            <w:shd w:val="clear" w:color="auto" w:fill="FFFFFF"/>
            <w:hideMark/>
          </w:tcPr>
          <w:p w:rsidR="00DA3F57" w:rsidRPr="00DA3F57" w:rsidRDefault="002C0AC3" w:rsidP="00DA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B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euhnotes.eushc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uhnotes.eushc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EE8" w:rsidRDefault="00DA3F57">
      <w:r w:rsidRPr="00DA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Related Policies/Procedures:</w:t>
      </w:r>
      <w:r w:rsidR="003E0E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Approved By</w:t>
      </w:r>
      <w:r w:rsidRPr="00DA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Transplant Leadership Group</w:t>
      </w:r>
    </w:p>
    <w:sectPr w:rsidR="00071EE8" w:rsidSect="0016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54C"/>
    <w:multiLevelType w:val="hybridMultilevel"/>
    <w:tmpl w:val="80769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979EE"/>
    <w:multiLevelType w:val="hybridMultilevel"/>
    <w:tmpl w:val="FCA4B4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CCF1D24"/>
    <w:multiLevelType w:val="hybridMultilevel"/>
    <w:tmpl w:val="482AE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A1A01"/>
    <w:multiLevelType w:val="hybridMultilevel"/>
    <w:tmpl w:val="618E1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E70E8"/>
    <w:multiLevelType w:val="hybridMultilevel"/>
    <w:tmpl w:val="2EB6735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36A6"/>
    <w:multiLevelType w:val="hybridMultilevel"/>
    <w:tmpl w:val="581EF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71F90"/>
    <w:multiLevelType w:val="hybridMultilevel"/>
    <w:tmpl w:val="22BE17C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1D226D4"/>
    <w:multiLevelType w:val="hybridMultilevel"/>
    <w:tmpl w:val="770A3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043F54"/>
    <w:multiLevelType w:val="hybridMultilevel"/>
    <w:tmpl w:val="136A2A66"/>
    <w:lvl w:ilvl="0" w:tplc="5ED0DB86">
      <w:start w:val="6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66002C4">
      <w:start w:val="1"/>
      <w:numFmt w:val="lowerLetter"/>
      <w:lvlText w:val="%2."/>
      <w:lvlJc w:val="left"/>
      <w:pPr>
        <w:ind w:left="1440" w:hanging="360"/>
      </w:pPr>
      <w:rPr>
        <w:rFonts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2C98"/>
    <w:multiLevelType w:val="hybridMultilevel"/>
    <w:tmpl w:val="04F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61E03"/>
    <w:multiLevelType w:val="hybridMultilevel"/>
    <w:tmpl w:val="39E2E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F8E3F43"/>
    <w:multiLevelType w:val="hybridMultilevel"/>
    <w:tmpl w:val="87F40856"/>
    <w:lvl w:ilvl="0" w:tplc="A8D44C04">
      <w:start w:val="1"/>
      <w:numFmt w:val="low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17F77"/>
    <w:multiLevelType w:val="hybridMultilevel"/>
    <w:tmpl w:val="139A6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A45C13"/>
    <w:multiLevelType w:val="hybridMultilevel"/>
    <w:tmpl w:val="687AA008"/>
    <w:lvl w:ilvl="0" w:tplc="6C7E8652">
      <w:start w:val="1"/>
      <w:numFmt w:val="lowerRoman"/>
      <w:lvlText w:val="%1."/>
      <w:lvlJc w:val="left"/>
      <w:pPr>
        <w:ind w:left="720" w:hanging="72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067A0E"/>
    <w:multiLevelType w:val="hybridMultilevel"/>
    <w:tmpl w:val="ABEA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BD6235"/>
    <w:multiLevelType w:val="hybridMultilevel"/>
    <w:tmpl w:val="B51ED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636A52"/>
    <w:multiLevelType w:val="hybridMultilevel"/>
    <w:tmpl w:val="2BE68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B242A3"/>
    <w:multiLevelType w:val="hybridMultilevel"/>
    <w:tmpl w:val="516069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2EA544A"/>
    <w:multiLevelType w:val="multilevel"/>
    <w:tmpl w:val="533A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21744"/>
    <w:multiLevelType w:val="hybridMultilevel"/>
    <w:tmpl w:val="9C0E6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2948E4"/>
    <w:multiLevelType w:val="hybridMultilevel"/>
    <w:tmpl w:val="4E94F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33570C"/>
    <w:multiLevelType w:val="hybridMultilevel"/>
    <w:tmpl w:val="538C93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21"/>
  </w:num>
  <w:num w:numId="9">
    <w:abstractNumId w:val="19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1"/>
  </w:num>
  <w:num w:numId="19">
    <w:abstractNumId w:val="14"/>
  </w:num>
  <w:num w:numId="20">
    <w:abstractNumId w:val="4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3F57"/>
    <w:rsid w:val="00027297"/>
    <w:rsid w:val="00052225"/>
    <w:rsid w:val="00071EE8"/>
    <w:rsid w:val="00107A65"/>
    <w:rsid w:val="001422BF"/>
    <w:rsid w:val="00164C7E"/>
    <w:rsid w:val="002A2AEF"/>
    <w:rsid w:val="002C0AC3"/>
    <w:rsid w:val="00323554"/>
    <w:rsid w:val="003A6936"/>
    <w:rsid w:val="003C4FFC"/>
    <w:rsid w:val="003E0E3A"/>
    <w:rsid w:val="00430BD6"/>
    <w:rsid w:val="004940B7"/>
    <w:rsid w:val="00581386"/>
    <w:rsid w:val="00633B9D"/>
    <w:rsid w:val="00636DFE"/>
    <w:rsid w:val="0067577C"/>
    <w:rsid w:val="00852E21"/>
    <w:rsid w:val="00925C30"/>
    <w:rsid w:val="0093749B"/>
    <w:rsid w:val="009561CE"/>
    <w:rsid w:val="00B43BA7"/>
    <w:rsid w:val="00BE22A1"/>
    <w:rsid w:val="00BF112D"/>
    <w:rsid w:val="00D632CE"/>
    <w:rsid w:val="00D77BB0"/>
    <w:rsid w:val="00DA3F57"/>
    <w:rsid w:val="00E13898"/>
    <w:rsid w:val="00F1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66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669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13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g.org/About-ACOG/ACOG-Departments/Annual-Womens-Health-Care/Well-Woman-Recommendations%5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og.org/About-ACOG/ACOG-Departments/Annual-Womens-Health-Care/Well-Woman-Recommendations%5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ojournal.org/article/S0016-5085(08)00232-1/pdf%5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anet.org/common/pdf/education/clinical-guidance/Prostate-Cancer-Detection.pdf%5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Parsons</dc:creator>
  <cp:lastModifiedBy>uadmrw</cp:lastModifiedBy>
  <cp:revision>2</cp:revision>
  <dcterms:created xsi:type="dcterms:W3CDTF">2017-06-01T15:13:00Z</dcterms:created>
  <dcterms:modified xsi:type="dcterms:W3CDTF">2017-06-01T15:13:00Z</dcterms:modified>
</cp:coreProperties>
</file>