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AE38" w14:textId="77777777" w:rsidR="00AB6012" w:rsidRPr="00C87198" w:rsidRDefault="00AB6012" w:rsidP="00AB6012">
      <w:pPr>
        <w:autoSpaceDE w:val="0"/>
        <w:autoSpaceDN w:val="0"/>
        <w:adjustRightInd w:val="0"/>
        <w:spacing w:before="100" w:after="100" w:line="240" w:lineRule="auto"/>
        <w:rPr>
          <w:rFonts w:ascii="Arial" w:eastAsia="Times New Roman" w:hAnsi="Arial" w:cs="Arial"/>
          <w:sz w:val="20"/>
          <w:szCs w:val="20"/>
        </w:rPr>
      </w:pPr>
      <w:r w:rsidRPr="00C87198">
        <w:rPr>
          <w:rFonts w:ascii="Arial" w:eastAsia="Times New Roman" w:hAnsi="Arial" w:cs="Arial"/>
          <w:b/>
          <w:bCs/>
          <w:sz w:val="20"/>
          <w:szCs w:val="20"/>
        </w:rPr>
        <w:t>Policy: Kidney/Pancreas Pre-Transplant: Evaluation Recipient Hepatitis C Testing/Evaluation Protocol</w:t>
      </w:r>
      <w:r w:rsidRPr="00C87198">
        <w:rPr>
          <w:rFonts w:ascii="Arial" w:eastAsia="Times New Roman" w:hAnsi="Arial" w:cs="Arial"/>
          <w:sz w:val="20"/>
          <w:szCs w:val="20"/>
        </w:rPr>
        <w:br/>
      </w:r>
      <w:r w:rsidRPr="00C87198">
        <w:rPr>
          <w:rFonts w:ascii="Arial" w:eastAsia="Times New Roman" w:hAnsi="Arial" w:cs="Arial"/>
          <w:sz w:val="20"/>
          <w:szCs w:val="20"/>
        </w:rPr>
        <w:br/>
      </w:r>
      <w:r w:rsidRPr="00C87198">
        <w:rPr>
          <w:rFonts w:ascii="Arial" w:eastAsia="Times New Roman" w:hAnsi="Arial" w:cs="Arial"/>
          <w:b/>
          <w:bCs/>
          <w:sz w:val="20"/>
          <w:szCs w:val="20"/>
        </w:rPr>
        <w:t>Statement: 1. Activation date: 10/01/2009</w:t>
      </w:r>
      <w:r w:rsidRPr="00C87198">
        <w:rPr>
          <w:rFonts w:ascii="Arial" w:eastAsia="Times New Roman" w:hAnsi="Arial" w:cs="Arial"/>
          <w:sz w:val="20"/>
          <w:szCs w:val="20"/>
        </w:rPr>
        <w:br/>
      </w:r>
      <w:r w:rsidRPr="00C87198">
        <w:rPr>
          <w:rFonts w:ascii="Arial" w:eastAsia="Times New Roman" w:hAnsi="Arial" w:cs="Arial"/>
          <w:b/>
          <w:bCs/>
          <w:sz w:val="20"/>
          <w:szCs w:val="20"/>
        </w:rPr>
        <w:t xml:space="preserve">2. Affected Department: </w:t>
      </w:r>
      <w:r w:rsidRPr="00C87198">
        <w:rPr>
          <w:rFonts w:ascii="Arial" w:eastAsia="Times New Roman" w:hAnsi="Arial" w:cs="Arial"/>
          <w:sz w:val="20"/>
          <w:szCs w:val="20"/>
        </w:rPr>
        <w:t>Kidney/Pancreas and Liver</w:t>
      </w:r>
      <w:r w:rsidRPr="00C87198">
        <w:rPr>
          <w:rFonts w:ascii="Arial" w:eastAsia="Times New Roman" w:hAnsi="Arial" w:cs="Arial"/>
          <w:b/>
          <w:bCs/>
          <w:sz w:val="20"/>
          <w:szCs w:val="20"/>
        </w:rPr>
        <w:t xml:space="preserve"> </w:t>
      </w:r>
      <w:r w:rsidRPr="00C87198">
        <w:rPr>
          <w:rFonts w:ascii="Arial" w:eastAsia="Times New Roman" w:hAnsi="Arial" w:cs="Arial"/>
          <w:sz w:val="20"/>
          <w:szCs w:val="20"/>
        </w:rPr>
        <w:t xml:space="preserve">Transplant Program and The Departments of Radiology, Lab Services and Pathology of Emory Healthcare </w:t>
      </w:r>
      <w:r w:rsidRPr="00C87198">
        <w:rPr>
          <w:rFonts w:ascii="Arial" w:eastAsia="Times New Roman" w:hAnsi="Arial" w:cs="Arial"/>
          <w:sz w:val="20"/>
          <w:szCs w:val="20"/>
        </w:rPr>
        <w:br/>
      </w:r>
      <w:r w:rsidRPr="00C87198">
        <w:rPr>
          <w:rFonts w:ascii="Arial" w:eastAsia="Times New Roman" w:hAnsi="Arial" w:cs="Arial"/>
          <w:b/>
          <w:bCs/>
          <w:sz w:val="20"/>
          <w:szCs w:val="20"/>
        </w:rPr>
        <w:t xml:space="preserve">3. Vision Strategy: </w:t>
      </w:r>
      <w:r w:rsidRPr="00C87198">
        <w:rPr>
          <w:rFonts w:ascii="Arial" w:eastAsia="Times New Roman" w:hAnsi="Arial" w:cs="Arial"/>
          <w:sz w:val="20"/>
          <w:szCs w:val="20"/>
        </w:rPr>
        <w:t>Patient Care</w:t>
      </w:r>
      <w:r w:rsidRPr="00C87198">
        <w:rPr>
          <w:rFonts w:ascii="Arial" w:eastAsia="Times New Roman" w:hAnsi="Arial" w:cs="Arial"/>
          <w:sz w:val="20"/>
          <w:szCs w:val="20"/>
        </w:rPr>
        <w:br/>
      </w:r>
      <w:r w:rsidRPr="00C87198">
        <w:rPr>
          <w:rFonts w:ascii="Arial" w:eastAsia="Times New Roman" w:hAnsi="Arial" w:cs="Arial"/>
          <w:b/>
          <w:bCs/>
          <w:sz w:val="20"/>
          <w:szCs w:val="20"/>
        </w:rPr>
        <w:t>4. Policy Statement:</w:t>
      </w:r>
      <w:r w:rsidRPr="00C87198">
        <w:rPr>
          <w:rFonts w:ascii="Arial" w:eastAsia="Times New Roman" w:hAnsi="Arial" w:cs="Arial"/>
          <w:sz w:val="20"/>
          <w:szCs w:val="20"/>
        </w:rPr>
        <w:t xml:space="preserve"> The Emory Transplant Center will comply with all applicable federal, state and local laws, regulations and policies regarding patient care.</w:t>
      </w:r>
      <w:r w:rsidRPr="00C87198">
        <w:rPr>
          <w:rFonts w:ascii="Arial" w:eastAsia="Times New Roman" w:hAnsi="Arial" w:cs="Arial"/>
          <w:sz w:val="20"/>
          <w:szCs w:val="20"/>
        </w:rPr>
        <w:br/>
      </w:r>
      <w:r w:rsidRPr="00C87198">
        <w:rPr>
          <w:rFonts w:ascii="Arial" w:eastAsia="Times New Roman" w:hAnsi="Arial" w:cs="Arial"/>
          <w:b/>
          <w:bCs/>
          <w:sz w:val="20"/>
          <w:szCs w:val="20"/>
        </w:rPr>
        <w:t>5. Basis</w:t>
      </w:r>
      <w:r w:rsidRPr="00C87198">
        <w:rPr>
          <w:rFonts w:ascii="Arial" w:eastAsia="Times New Roman" w:hAnsi="Arial" w:cs="Arial"/>
          <w:sz w:val="20"/>
          <w:szCs w:val="20"/>
        </w:rPr>
        <w:t>: This policy is necessary for the protection of patients, physicians and staff</w:t>
      </w:r>
      <w:r w:rsidRPr="00C87198">
        <w:rPr>
          <w:rFonts w:ascii="Arial" w:eastAsia="Times New Roman" w:hAnsi="Arial" w:cs="Arial"/>
          <w:sz w:val="20"/>
          <w:szCs w:val="20"/>
        </w:rPr>
        <w:br/>
      </w:r>
      <w:r w:rsidRPr="00C87198">
        <w:rPr>
          <w:rFonts w:ascii="Arial" w:eastAsia="Times New Roman" w:hAnsi="Arial" w:cs="Arial"/>
          <w:b/>
          <w:bCs/>
          <w:sz w:val="20"/>
          <w:szCs w:val="20"/>
        </w:rPr>
        <w:t>6. Administrative Responsibility:</w:t>
      </w:r>
      <w:r w:rsidRPr="00C87198">
        <w:rPr>
          <w:rFonts w:ascii="Arial" w:eastAsia="Times New Roman" w:hAnsi="Arial" w:cs="Arial"/>
          <w:sz w:val="20"/>
          <w:szCs w:val="20"/>
        </w:rPr>
        <w:t xml:space="preserve"> Section heads, physicians, practitioners, and staff are responsible for compliance with this policy.</w:t>
      </w:r>
      <w:r w:rsidRPr="00C87198">
        <w:rPr>
          <w:rFonts w:ascii="Arial" w:eastAsia="Times New Roman" w:hAnsi="Arial" w:cs="Arial"/>
          <w:sz w:val="20"/>
          <w:szCs w:val="20"/>
        </w:rPr>
        <w:br/>
      </w:r>
      <w:r w:rsidRPr="00C87198">
        <w:rPr>
          <w:rFonts w:ascii="Arial" w:eastAsia="Times New Roman" w:hAnsi="Arial" w:cs="Arial"/>
          <w:sz w:val="20"/>
          <w:szCs w:val="20"/>
        </w:rPr>
        <w:br/>
      </w:r>
      <w:r w:rsidRPr="00C87198">
        <w:rPr>
          <w:rFonts w:ascii="Arial" w:eastAsia="Times New Roman" w:hAnsi="Arial" w:cs="Arial"/>
          <w:b/>
          <w:bCs/>
          <w:sz w:val="20"/>
          <w:szCs w:val="20"/>
        </w:rPr>
        <w:t>Scope/Procedure:</w:t>
      </w:r>
    </w:p>
    <w:p w14:paraId="32685474" w14:textId="77777777" w:rsidR="00AB6012" w:rsidRPr="00C87198" w:rsidRDefault="00AB6012" w:rsidP="00AB6012">
      <w:pPr>
        <w:autoSpaceDE w:val="0"/>
        <w:autoSpaceDN w:val="0"/>
        <w:adjustRightInd w:val="0"/>
        <w:spacing w:before="100" w:after="100" w:line="240" w:lineRule="auto"/>
        <w:rPr>
          <w:rFonts w:ascii="Arial" w:eastAsia="Times New Roman" w:hAnsi="Arial" w:cs="Arial"/>
          <w:sz w:val="20"/>
          <w:szCs w:val="20"/>
        </w:rPr>
      </w:pPr>
      <w:r w:rsidRPr="00C87198">
        <w:rPr>
          <w:rFonts w:ascii="Arial" w:eastAsia="Times New Roman" w:hAnsi="Arial" w:cs="Arial"/>
          <w:b/>
          <w:bCs/>
          <w:sz w:val="20"/>
          <w:szCs w:val="20"/>
        </w:rPr>
        <w:t>Protocol Scope:</w:t>
      </w:r>
      <w:r w:rsidRPr="00C87198">
        <w:rPr>
          <w:rFonts w:ascii="Arial" w:eastAsia="Times New Roman" w:hAnsi="Arial" w:cs="Arial"/>
          <w:sz w:val="20"/>
          <w:szCs w:val="20"/>
        </w:rPr>
        <w:br/>
        <w:t xml:space="preserve">The Emory University Transplant Center will provide Hepatitis C virus (HCV) antibody testing to all renal/pancreas transplant evaluation candidates. Those who test positive for HCV antibody will undergo genotype testing, HCV RNA quantification, and Hepatology consultation. HCV Ab positive candidates who are </w:t>
      </w:r>
      <w:proofErr w:type="spellStart"/>
      <w:r w:rsidRPr="00C87198">
        <w:rPr>
          <w:rFonts w:ascii="Arial" w:eastAsia="Times New Roman" w:hAnsi="Arial" w:cs="Arial"/>
          <w:sz w:val="20"/>
          <w:szCs w:val="20"/>
        </w:rPr>
        <w:t>viremic</w:t>
      </w:r>
      <w:proofErr w:type="spellEnd"/>
      <w:r w:rsidRPr="00C87198">
        <w:rPr>
          <w:rFonts w:ascii="Arial" w:eastAsia="Times New Roman" w:hAnsi="Arial" w:cs="Arial"/>
          <w:sz w:val="20"/>
          <w:szCs w:val="20"/>
        </w:rPr>
        <w:t xml:space="preserve"> for Hepatitis C</w:t>
      </w:r>
      <w:r w:rsidR="00C87198">
        <w:rPr>
          <w:rFonts w:ascii="Arial" w:eastAsia="Times New Roman" w:hAnsi="Arial" w:cs="Arial"/>
          <w:sz w:val="20"/>
          <w:szCs w:val="20"/>
        </w:rPr>
        <w:t xml:space="preserve">, regardless of </w:t>
      </w:r>
      <w:r w:rsidRPr="00C87198">
        <w:rPr>
          <w:rFonts w:ascii="Arial" w:eastAsia="Times New Roman" w:hAnsi="Arial" w:cs="Arial"/>
          <w:sz w:val="20"/>
          <w:szCs w:val="20"/>
        </w:rPr>
        <w:t>genotype</w:t>
      </w:r>
      <w:bookmarkStart w:id="0" w:name="_GoBack"/>
      <w:bookmarkEnd w:id="0"/>
      <w:r w:rsidR="00C87198">
        <w:rPr>
          <w:rFonts w:ascii="Arial" w:eastAsia="Times New Roman" w:hAnsi="Arial" w:cs="Arial"/>
          <w:sz w:val="20"/>
          <w:szCs w:val="20"/>
        </w:rPr>
        <w:t>,</w:t>
      </w:r>
      <w:r w:rsidRPr="00C87198">
        <w:rPr>
          <w:rFonts w:ascii="Arial" w:eastAsia="Times New Roman" w:hAnsi="Arial" w:cs="Arial"/>
          <w:sz w:val="20"/>
          <w:szCs w:val="20"/>
        </w:rPr>
        <w:t xml:space="preserve"> will be considered candidates for kidneys from donors who are Hepatitis C Ab positive. The Hepatology service will perform evaluation, follow up, and surveillance on active kidney transplant candidates with a positive HCV Ab. The Hepatology service will evaluate the </w:t>
      </w:r>
      <w:proofErr w:type="spellStart"/>
      <w:r w:rsidRPr="00C87198">
        <w:rPr>
          <w:rFonts w:ascii="Arial" w:eastAsia="Times New Roman" w:hAnsi="Arial" w:cs="Arial"/>
          <w:sz w:val="20"/>
          <w:szCs w:val="20"/>
        </w:rPr>
        <w:t>HCVAb</w:t>
      </w:r>
      <w:proofErr w:type="spellEnd"/>
      <w:r w:rsidRPr="00C87198">
        <w:rPr>
          <w:rFonts w:ascii="Arial" w:eastAsia="Times New Roman" w:hAnsi="Arial" w:cs="Arial"/>
          <w:sz w:val="20"/>
          <w:szCs w:val="20"/>
        </w:rPr>
        <w:t xml:space="preserve"> positive kidney transplant candidate based on the following definitions and candidate presentations.</w:t>
      </w:r>
    </w:p>
    <w:p w14:paraId="677CA783" w14:textId="77777777" w:rsidR="00AB6012" w:rsidRPr="00C87198" w:rsidRDefault="00AB6012" w:rsidP="00AB6012">
      <w:p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Features concerning for cirrhosis and portal hypertension:</w:t>
      </w:r>
    </w:p>
    <w:p w14:paraId="34334C15" w14:textId="77777777" w:rsidR="00AB6012" w:rsidRPr="00C87198" w:rsidRDefault="00AB6012" w:rsidP="00AB6012">
      <w:pPr>
        <w:numPr>
          <w:ilvl w:val="0"/>
          <w:numId w:val="1"/>
        </w:num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 xml:space="preserve">Radiographic: </w:t>
      </w:r>
    </w:p>
    <w:p w14:paraId="2EFA8A9C" w14:textId="77777777" w:rsidR="00AB6012" w:rsidRPr="00C87198" w:rsidRDefault="00AB6012" w:rsidP="00AC22AF">
      <w:pPr>
        <w:numPr>
          <w:ilvl w:val="3"/>
          <w:numId w:val="1"/>
        </w:num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Features of possible fibrosis/cirrhosis: abnormal liver morphology, enhancement characteristics of fibrosis</w:t>
      </w:r>
    </w:p>
    <w:p w14:paraId="5CA4595D" w14:textId="77777777" w:rsidR="00AB6012" w:rsidRPr="00C87198" w:rsidRDefault="00AB6012" w:rsidP="00AC22AF">
      <w:pPr>
        <w:numPr>
          <w:ilvl w:val="3"/>
          <w:numId w:val="1"/>
        </w:num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Features of portal hypertension: spleen &gt; 13cm, intra-abdominal varices, dilated portal vein, ascites</w:t>
      </w:r>
    </w:p>
    <w:p w14:paraId="280524B2" w14:textId="77777777" w:rsidR="00AB6012" w:rsidRPr="00C87198" w:rsidRDefault="00AB6012" w:rsidP="00AB6012">
      <w:pPr>
        <w:numPr>
          <w:ilvl w:val="0"/>
          <w:numId w:val="1"/>
        </w:num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Laboratory Criteria: Platelets &lt; 150</w:t>
      </w:r>
    </w:p>
    <w:p w14:paraId="685D8752" w14:textId="77777777" w:rsidR="00AB6012" w:rsidRPr="00C87198" w:rsidRDefault="00AB6012" w:rsidP="00AB6012">
      <w:pPr>
        <w:numPr>
          <w:ilvl w:val="0"/>
          <w:numId w:val="1"/>
        </w:num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 xml:space="preserve">Physical Exam: Spider </w:t>
      </w:r>
      <w:proofErr w:type="spellStart"/>
      <w:r w:rsidRPr="00C87198">
        <w:rPr>
          <w:rFonts w:ascii="Arial" w:eastAsia="Times New Roman" w:hAnsi="Arial" w:cs="Arial"/>
          <w:bCs/>
          <w:sz w:val="20"/>
          <w:szCs w:val="20"/>
        </w:rPr>
        <w:t>angiomata</w:t>
      </w:r>
      <w:proofErr w:type="spellEnd"/>
      <w:r w:rsidRPr="00C87198">
        <w:rPr>
          <w:rFonts w:ascii="Arial" w:eastAsia="Times New Roman" w:hAnsi="Arial" w:cs="Arial"/>
          <w:bCs/>
          <w:sz w:val="20"/>
          <w:szCs w:val="20"/>
        </w:rPr>
        <w:t>/caput medusa, ascites</w:t>
      </w:r>
    </w:p>
    <w:p w14:paraId="671D39A4" w14:textId="77777777" w:rsidR="00AB6012" w:rsidRPr="00C87198" w:rsidRDefault="00AB6012" w:rsidP="00AB6012">
      <w:pPr>
        <w:autoSpaceDE w:val="0"/>
        <w:autoSpaceDN w:val="0"/>
        <w:adjustRightInd w:val="0"/>
        <w:spacing w:before="100" w:after="100" w:line="240" w:lineRule="auto"/>
        <w:rPr>
          <w:rFonts w:ascii="Arial" w:eastAsia="Times New Roman" w:hAnsi="Arial" w:cs="Arial"/>
          <w:sz w:val="20"/>
          <w:szCs w:val="20"/>
        </w:rPr>
      </w:pPr>
    </w:p>
    <w:p w14:paraId="67393526" w14:textId="77777777" w:rsidR="00AB6012" w:rsidRPr="00C87198" w:rsidRDefault="00AB6012" w:rsidP="00AB6012">
      <w:p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Candidates with no radiographic features, laboratory features, or physical exam features</w:t>
      </w:r>
      <w:r w:rsidRPr="00C87198">
        <w:rPr>
          <w:rFonts w:ascii="Arial" w:eastAsia="Times New Roman" w:hAnsi="Arial" w:cs="Arial"/>
          <w:sz w:val="20"/>
          <w:szCs w:val="20"/>
        </w:rPr>
        <w:t xml:space="preserve"> </w:t>
      </w:r>
      <w:r w:rsidRPr="00C87198">
        <w:rPr>
          <w:rFonts w:ascii="Arial" w:eastAsia="Times New Roman" w:hAnsi="Arial" w:cs="Arial"/>
          <w:bCs/>
          <w:sz w:val="20"/>
          <w:szCs w:val="20"/>
        </w:rPr>
        <w:t>of advanced disease can proceed with active kidney transplant listing. These patients should be evaluated by hepatology every 2 years while on the waiting list.  Candidates with either radiographic features of fibrosis/cirrhosis or platelets &lt; 150 or physical exam features, but</w:t>
      </w:r>
      <w:r w:rsidRPr="00C87198">
        <w:rPr>
          <w:rFonts w:ascii="Arial" w:eastAsia="Times New Roman" w:hAnsi="Arial" w:cs="Arial"/>
          <w:sz w:val="20"/>
          <w:szCs w:val="20"/>
        </w:rPr>
        <w:t xml:space="preserve"> </w:t>
      </w:r>
      <w:r w:rsidRPr="00C87198">
        <w:rPr>
          <w:rFonts w:ascii="Arial" w:eastAsia="Times New Roman" w:hAnsi="Arial" w:cs="Arial"/>
          <w:bCs/>
          <w:sz w:val="20"/>
          <w:szCs w:val="20"/>
        </w:rPr>
        <w:t xml:space="preserve">no radiographic features of portal hypertension can proceed with </w:t>
      </w:r>
      <w:proofErr w:type="spellStart"/>
      <w:r w:rsidRPr="00C87198">
        <w:rPr>
          <w:rFonts w:ascii="Arial" w:eastAsia="Times New Roman" w:hAnsi="Arial" w:cs="Arial"/>
          <w:bCs/>
          <w:sz w:val="20"/>
          <w:szCs w:val="20"/>
        </w:rPr>
        <w:t>transjugular</w:t>
      </w:r>
      <w:proofErr w:type="spellEnd"/>
      <w:r w:rsidRPr="00C87198">
        <w:rPr>
          <w:rFonts w:ascii="Arial" w:eastAsia="Times New Roman" w:hAnsi="Arial" w:cs="Arial"/>
          <w:bCs/>
          <w:sz w:val="20"/>
          <w:szCs w:val="20"/>
        </w:rPr>
        <w:t xml:space="preserve"> liver biopsy with hepatic vein pressure gradient measurement. Patients without portal hypertension and/or cirrhosis on liver biopsy can proceed to renal transplantation.  Candidates with presence of radiographic features of portal hypertension, regardless of presence or absence of other features and are otherwise reasonable to consider for liver transplant may proceed with liver transplant evaluation.</w:t>
      </w:r>
    </w:p>
    <w:p w14:paraId="18B8D437" w14:textId="77777777" w:rsidR="00AB6012" w:rsidRPr="00C87198" w:rsidRDefault="00AB6012" w:rsidP="00AB6012">
      <w:pPr>
        <w:autoSpaceDE w:val="0"/>
        <w:autoSpaceDN w:val="0"/>
        <w:adjustRightInd w:val="0"/>
        <w:spacing w:before="100" w:after="100" w:line="240" w:lineRule="auto"/>
        <w:rPr>
          <w:rFonts w:ascii="Arial" w:eastAsia="Times New Roman" w:hAnsi="Arial" w:cs="Arial"/>
          <w:bCs/>
          <w:sz w:val="20"/>
          <w:szCs w:val="20"/>
        </w:rPr>
      </w:pPr>
      <w:r w:rsidRPr="00C87198">
        <w:rPr>
          <w:rFonts w:ascii="Arial" w:eastAsia="Times New Roman" w:hAnsi="Arial" w:cs="Arial"/>
          <w:bCs/>
          <w:sz w:val="20"/>
          <w:szCs w:val="20"/>
        </w:rPr>
        <w:t xml:space="preserve">All renal transplant recipients with hepatitis C should have an appointment with transplant hepatology at 3 </w:t>
      </w:r>
      <w:proofErr w:type="gramStart"/>
      <w:r w:rsidRPr="00C87198">
        <w:rPr>
          <w:rFonts w:ascii="Arial" w:eastAsia="Times New Roman" w:hAnsi="Arial" w:cs="Arial"/>
          <w:bCs/>
          <w:sz w:val="20"/>
          <w:szCs w:val="20"/>
        </w:rPr>
        <w:t>months</w:t>
      </w:r>
      <w:proofErr w:type="gramEnd"/>
      <w:r w:rsidRPr="00C87198">
        <w:rPr>
          <w:rFonts w:ascii="Arial" w:eastAsia="Times New Roman" w:hAnsi="Arial" w:cs="Arial"/>
          <w:bCs/>
          <w:sz w:val="20"/>
          <w:szCs w:val="20"/>
        </w:rPr>
        <w:t xml:space="preserve"> post renal transplant.</w:t>
      </w:r>
    </w:p>
    <w:p w14:paraId="05B1FA8E" w14:textId="77777777" w:rsidR="00322DEC" w:rsidRPr="00C87198" w:rsidRDefault="00AB6012">
      <w:pPr>
        <w:rPr>
          <w:rFonts w:ascii="Arial" w:hAnsi="Arial" w:cs="Arial"/>
        </w:rPr>
      </w:pPr>
      <w:r w:rsidRPr="00C87198">
        <w:rPr>
          <w:rFonts w:ascii="Arial" w:eastAsia="Times New Roman" w:hAnsi="Arial" w:cs="Arial"/>
          <w:sz w:val="20"/>
          <w:szCs w:val="20"/>
        </w:rPr>
        <w:br/>
        <w:t>_____________________________________</w:t>
      </w:r>
      <w:r w:rsidRPr="00C87198">
        <w:rPr>
          <w:rFonts w:ascii="Arial" w:eastAsia="Times New Roman" w:hAnsi="Arial" w:cs="Arial"/>
          <w:sz w:val="20"/>
          <w:szCs w:val="20"/>
        </w:rPr>
        <w:br/>
        <w:t xml:space="preserve">Thomas C. Pearson, M.D., DPhil </w:t>
      </w:r>
      <w:r w:rsidRPr="00C87198">
        <w:rPr>
          <w:rFonts w:ascii="Arial" w:eastAsia="Times New Roman" w:hAnsi="Arial" w:cs="Arial"/>
          <w:sz w:val="20"/>
          <w:szCs w:val="20"/>
        </w:rPr>
        <w:br/>
        <w:t>Chair, Renal Transplant Leadership Group</w:t>
      </w:r>
      <w:r w:rsidRPr="00C87198">
        <w:rPr>
          <w:rFonts w:ascii="Arial" w:eastAsia="Times New Roman" w:hAnsi="Arial" w:cs="Arial"/>
          <w:sz w:val="20"/>
          <w:szCs w:val="20"/>
        </w:rPr>
        <w:br/>
        <w:t>Director, Renal Transplant Program</w:t>
      </w:r>
      <w:r w:rsidRPr="00C87198">
        <w:rPr>
          <w:rFonts w:ascii="Arial" w:eastAsia="Times New Roman" w:hAnsi="Arial" w:cs="Arial"/>
          <w:sz w:val="20"/>
          <w:szCs w:val="20"/>
        </w:rPr>
        <w:br/>
      </w:r>
      <w:r w:rsidRPr="00C87198">
        <w:rPr>
          <w:rFonts w:ascii="Arial" w:eastAsia="Times New Roman" w:hAnsi="Arial" w:cs="Arial"/>
          <w:sz w:val="20"/>
          <w:szCs w:val="20"/>
        </w:rPr>
        <w:br/>
        <w:t>Approval Dates: 10/01/2009, 5/13/2015</w:t>
      </w:r>
      <w:r w:rsidR="00AC22AF">
        <w:rPr>
          <w:rFonts w:ascii="Arial" w:eastAsia="Times New Roman" w:hAnsi="Arial" w:cs="Arial"/>
          <w:sz w:val="20"/>
          <w:szCs w:val="20"/>
        </w:rPr>
        <w:t>, 10/26/2016</w:t>
      </w:r>
    </w:p>
    <w:sectPr w:rsidR="00322DEC" w:rsidRPr="00C87198" w:rsidSect="00BF5EB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63478"/>
    <w:multiLevelType w:val="hybridMultilevel"/>
    <w:tmpl w:val="838AC49A"/>
    <w:lvl w:ilvl="0" w:tplc="F1CCC370">
      <w:start w:val="1"/>
      <w:numFmt w:val="bullet"/>
      <w:lvlText w:val=""/>
      <w:lvlJc w:val="left"/>
      <w:pPr>
        <w:tabs>
          <w:tab w:val="num" w:pos="720"/>
        </w:tabs>
        <w:ind w:left="720" w:hanging="360"/>
      </w:pPr>
      <w:rPr>
        <w:rFonts w:ascii="Wingdings 2" w:hAnsi="Wingdings 2" w:hint="default"/>
      </w:rPr>
    </w:lvl>
    <w:lvl w:ilvl="1" w:tplc="55422F12">
      <w:numFmt w:val="none"/>
      <w:lvlText w:val=""/>
      <w:lvlJc w:val="left"/>
      <w:pPr>
        <w:tabs>
          <w:tab w:val="num" w:pos="360"/>
        </w:tabs>
      </w:pPr>
      <w:rPr>
        <w:rFonts w:cs="Times New Roman"/>
      </w:rPr>
    </w:lvl>
    <w:lvl w:ilvl="2" w:tplc="29F4BADE">
      <w:numFmt w:val="none"/>
      <w:lvlText w:val=""/>
      <w:lvlJc w:val="left"/>
      <w:pPr>
        <w:tabs>
          <w:tab w:val="num" w:pos="360"/>
        </w:tabs>
      </w:pPr>
      <w:rPr>
        <w:rFonts w:cs="Times New Roman"/>
      </w:rPr>
    </w:lvl>
    <w:lvl w:ilvl="3" w:tplc="4BD6B066">
      <w:start w:val="1"/>
      <w:numFmt w:val="bullet"/>
      <w:lvlText w:val=""/>
      <w:lvlJc w:val="left"/>
      <w:pPr>
        <w:tabs>
          <w:tab w:val="num" w:pos="2880"/>
        </w:tabs>
        <w:ind w:left="2880" w:hanging="360"/>
      </w:pPr>
      <w:rPr>
        <w:rFonts w:ascii="Wingdings 2" w:hAnsi="Wingdings 2" w:hint="default"/>
      </w:rPr>
    </w:lvl>
    <w:lvl w:ilvl="4" w:tplc="D0421BF4" w:tentative="1">
      <w:start w:val="1"/>
      <w:numFmt w:val="bullet"/>
      <w:lvlText w:val=""/>
      <w:lvlJc w:val="left"/>
      <w:pPr>
        <w:tabs>
          <w:tab w:val="num" w:pos="3600"/>
        </w:tabs>
        <w:ind w:left="3600" w:hanging="360"/>
      </w:pPr>
      <w:rPr>
        <w:rFonts w:ascii="Wingdings 2" w:hAnsi="Wingdings 2" w:hint="default"/>
      </w:rPr>
    </w:lvl>
    <w:lvl w:ilvl="5" w:tplc="B4D6066A" w:tentative="1">
      <w:start w:val="1"/>
      <w:numFmt w:val="bullet"/>
      <w:lvlText w:val=""/>
      <w:lvlJc w:val="left"/>
      <w:pPr>
        <w:tabs>
          <w:tab w:val="num" w:pos="4320"/>
        </w:tabs>
        <w:ind w:left="4320" w:hanging="360"/>
      </w:pPr>
      <w:rPr>
        <w:rFonts w:ascii="Wingdings 2" w:hAnsi="Wingdings 2" w:hint="default"/>
      </w:rPr>
    </w:lvl>
    <w:lvl w:ilvl="6" w:tplc="75B65A64" w:tentative="1">
      <w:start w:val="1"/>
      <w:numFmt w:val="bullet"/>
      <w:lvlText w:val=""/>
      <w:lvlJc w:val="left"/>
      <w:pPr>
        <w:tabs>
          <w:tab w:val="num" w:pos="5040"/>
        </w:tabs>
        <w:ind w:left="5040" w:hanging="360"/>
      </w:pPr>
      <w:rPr>
        <w:rFonts w:ascii="Wingdings 2" w:hAnsi="Wingdings 2" w:hint="default"/>
      </w:rPr>
    </w:lvl>
    <w:lvl w:ilvl="7" w:tplc="1D48DC00" w:tentative="1">
      <w:start w:val="1"/>
      <w:numFmt w:val="bullet"/>
      <w:lvlText w:val=""/>
      <w:lvlJc w:val="left"/>
      <w:pPr>
        <w:tabs>
          <w:tab w:val="num" w:pos="5760"/>
        </w:tabs>
        <w:ind w:left="5760" w:hanging="360"/>
      </w:pPr>
      <w:rPr>
        <w:rFonts w:ascii="Wingdings 2" w:hAnsi="Wingdings 2" w:hint="default"/>
      </w:rPr>
    </w:lvl>
    <w:lvl w:ilvl="8" w:tplc="867CCCA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2"/>
    <w:rsid w:val="00396C44"/>
    <w:rsid w:val="00AB18A9"/>
    <w:rsid w:val="00AB6012"/>
    <w:rsid w:val="00AC22AF"/>
    <w:rsid w:val="00AD2286"/>
    <w:rsid w:val="00C87198"/>
    <w:rsid w:val="00CA230A"/>
    <w:rsid w:val="00FD52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1B2D"/>
  <w15:docId w15:val="{6401CAFD-FADD-421A-B488-C6563E8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Parsons</dc:creator>
  <cp:lastModifiedBy>William Kitchens</cp:lastModifiedBy>
  <cp:revision>2</cp:revision>
  <dcterms:created xsi:type="dcterms:W3CDTF">2017-02-09T05:46:00Z</dcterms:created>
  <dcterms:modified xsi:type="dcterms:W3CDTF">2017-02-09T05:46:00Z</dcterms:modified>
</cp:coreProperties>
</file>