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E19F" w14:textId="77777777" w:rsidR="00D82ADA" w:rsidRPr="00120DE3" w:rsidRDefault="00D82ADA" w:rsidP="00D82ADA">
      <w:pPr>
        <w:rPr>
          <w:rFonts w:ascii="Arial" w:hAnsi="Arial" w:cs="Arial"/>
        </w:rPr>
      </w:pPr>
      <w:bookmarkStart w:id="0" w:name="_GoBack"/>
      <w:bookmarkEnd w:id="0"/>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14:paraId="02E6F7D8" w14:textId="77777777" w:rsidTr="0089061D">
        <w:trPr>
          <w:trHeight w:val="702"/>
        </w:trPr>
        <w:tc>
          <w:tcPr>
            <w:tcW w:w="5000" w:type="pct"/>
            <w:gridSpan w:val="2"/>
            <w:tcBorders>
              <w:bottom w:val="single" w:sz="4" w:space="0" w:color="auto"/>
            </w:tcBorders>
          </w:tcPr>
          <w:p w14:paraId="550D8653" w14:textId="6450B855" w:rsidR="00576F37" w:rsidRPr="00120DE3" w:rsidRDefault="00576F37" w:rsidP="0038237D">
            <w:pPr>
              <w:spacing w:before="60"/>
              <w:rPr>
                <w:rFonts w:ascii="Arial" w:hAnsi="Arial" w:cs="Arial"/>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38237D" w:rsidRPr="0038237D">
              <w:rPr>
                <w:rFonts w:ascii="Arial" w:hAnsi="Arial" w:cs="Arial"/>
                <w:bCs/>
              </w:rPr>
              <w:t>Kidney</w:t>
            </w:r>
            <w:r w:rsidR="0038237D">
              <w:rPr>
                <w:rFonts w:ascii="Arial" w:hAnsi="Arial" w:cs="Arial"/>
                <w:bCs/>
              </w:rPr>
              <w:t xml:space="preserve"> and </w:t>
            </w:r>
            <w:r w:rsidR="0038237D" w:rsidRPr="0038237D">
              <w:rPr>
                <w:rFonts w:ascii="Arial" w:hAnsi="Arial" w:cs="Arial"/>
                <w:bCs/>
              </w:rPr>
              <w:t xml:space="preserve">Pancreas Pre-Transplant: Recipient Hepatitis C </w:t>
            </w:r>
            <w:r w:rsidR="0038237D">
              <w:rPr>
                <w:rFonts w:ascii="Arial" w:hAnsi="Arial" w:cs="Arial"/>
                <w:bCs/>
              </w:rPr>
              <w:t xml:space="preserve">Testing and </w:t>
            </w:r>
            <w:r w:rsidR="0038237D" w:rsidRPr="0038237D">
              <w:rPr>
                <w:rFonts w:ascii="Arial" w:hAnsi="Arial" w:cs="Arial"/>
                <w:bCs/>
              </w:rPr>
              <w:t>Evaluation</w:t>
            </w:r>
          </w:p>
        </w:tc>
      </w:tr>
      <w:tr w:rsidR="00576F37" w:rsidRPr="00120DE3"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14:paraId="0818D075" w14:textId="5995EB74" w:rsidR="00FF712F" w:rsidRDefault="00F238E2"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1"/>
                  <w14:checkedState w14:val="2612" w14:font="MS Gothic"/>
                  <w14:uncheckedState w14:val="2610" w14:font="MS Gothic"/>
                </w14:checkbox>
              </w:sdtPr>
              <w:sdtEndPr/>
              <w:sdtContent>
                <w:r w:rsidR="0038237D">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1"/>
                  <w14:checkedState w14:val="2612" w14:font="MS Gothic"/>
                  <w14:uncheckedState w14:val="2610" w14:font="MS Gothic"/>
                </w14:checkbox>
              </w:sdtPr>
              <w:sdtEndPr/>
              <w:sdtContent>
                <w:r w:rsidR="0038237D">
                  <w:rPr>
                    <w:rFonts w:ascii="MS Gothic" w:eastAsia="MS Gothic" w:hAnsi="MS Gothic" w:cs="Arial" w:hint="eastAsia"/>
                    <w:sz w:val="22"/>
                    <w:szCs w:val="22"/>
                  </w:rPr>
                  <w:t>☒</w:t>
                </w:r>
              </w:sdtContent>
            </w:sdt>
            <w:r w:rsidR="001864B9">
              <w:rPr>
                <w:rFonts w:ascii="Arial" w:hAnsi="Arial" w:cs="Arial"/>
                <w:sz w:val="22"/>
                <w:szCs w:val="22"/>
              </w:rPr>
              <w:t>ESJH</w:t>
            </w:r>
          </w:p>
          <w:p w14:paraId="71BEDD34" w14:textId="1CED6102" w:rsidR="00061A36" w:rsidRPr="00A96893" w:rsidRDefault="00F238E2"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sidR="0038237D">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1"/>
                  <w14:checkedState w14:val="2612" w14:font="MS Gothic"/>
                  <w14:uncheckedState w14:val="2610" w14:font="MS Gothic"/>
                </w14:checkbox>
              </w:sdtPr>
              <w:sdtEndPr/>
              <w:sdtContent>
                <w:r w:rsidR="0038237D">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14:paraId="659689C6" w14:textId="77777777" w:rsidTr="0089061D">
        <w:tc>
          <w:tcPr>
            <w:tcW w:w="2751" w:type="pct"/>
            <w:tcBorders>
              <w:top w:val="single" w:sz="4" w:space="0" w:color="auto"/>
              <w:bottom w:val="double" w:sz="4" w:space="0" w:color="auto"/>
            </w:tcBorders>
          </w:tcPr>
          <w:p w14:paraId="1E2FFA29" w14:textId="77777777"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p>
        </w:tc>
        <w:tc>
          <w:tcPr>
            <w:tcW w:w="2249" w:type="pct"/>
            <w:tcBorders>
              <w:top w:val="single" w:sz="4" w:space="0" w:color="auto"/>
              <w:bottom w:val="double" w:sz="4" w:space="0" w:color="auto"/>
            </w:tcBorders>
          </w:tcPr>
          <w:p w14:paraId="319CC0A0" w14:textId="00B7DD58"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r w:rsidR="0038237D">
              <w:rPr>
                <w:rFonts w:ascii="Arial" w:hAnsi="Arial" w:cs="Arial"/>
              </w:rPr>
              <w:t>10/01/2009</w:t>
            </w:r>
          </w:p>
        </w:tc>
      </w:tr>
    </w:tbl>
    <w:p w14:paraId="3DA472F2" w14:textId="0B222D9E" w:rsidR="001F3959" w:rsidRPr="003615B9" w:rsidRDefault="001F3959" w:rsidP="001F3959">
      <w:pPr>
        <w:rPr>
          <w:rFonts w:ascii="Arial" w:hAnsi="Arial" w:cs="Arial"/>
        </w:rPr>
      </w:pPr>
      <w:r>
        <w:rPr>
          <w:rFonts w:ascii="Arial" w:hAnsi="Arial" w:cs="Arial"/>
          <w:b/>
          <w:u w:val="single"/>
        </w:rPr>
        <w:t>CATEGORY</w:t>
      </w:r>
      <w:r w:rsidR="0019168D">
        <w:rPr>
          <w:rFonts w:ascii="Arial" w:hAnsi="Arial" w:cs="Arial"/>
          <w:b/>
          <w:u w:val="single"/>
        </w:rPr>
        <w:t>:</w:t>
      </w:r>
      <w:r w:rsidR="0019168D" w:rsidRPr="00A96893">
        <w:rPr>
          <w:rFonts w:ascii="Arial" w:hAnsi="Arial" w:cs="Arial"/>
        </w:rPr>
        <w:t xml:space="preserve"> </w:t>
      </w:r>
      <w:r>
        <w:rPr>
          <w:rFonts w:ascii="Arial" w:hAnsi="Arial" w:cs="Arial"/>
        </w:rPr>
        <w:t xml:space="preserve"> </w:t>
      </w:r>
      <w:r w:rsidRPr="003615B9">
        <w:rPr>
          <w:rFonts w:ascii="Arial" w:hAnsi="Arial" w:cs="Arial"/>
        </w:rPr>
        <w:t>Diagnostic/Therapeutic/Preventive</w:t>
      </w:r>
    </w:p>
    <w:p w14:paraId="7DF10D58" w14:textId="77777777" w:rsidR="006F1E72" w:rsidRPr="00120DE3" w:rsidRDefault="006F1E72" w:rsidP="00D82ADA">
      <w:pPr>
        <w:rPr>
          <w:rFonts w:ascii="Arial" w:hAnsi="Arial" w:cs="Arial"/>
        </w:rPr>
      </w:pPr>
    </w:p>
    <w:p w14:paraId="6A860210" w14:textId="7C1763AC" w:rsidR="001F3959" w:rsidRDefault="001F3959" w:rsidP="00D82ADA">
      <w:pPr>
        <w:rPr>
          <w:rFonts w:ascii="Arial" w:hAnsi="Arial" w:cs="Arial"/>
        </w:rPr>
      </w:pPr>
      <w:r>
        <w:rPr>
          <w:rFonts w:ascii="Arial" w:hAnsi="Arial" w:cs="Arial"/>
          <w:b/>
          <w:u w:val="single"/>
        </w:rPr>
        <w:t>LEVEL</w:t>
      </w:r>
      <w:r w:rsidR="0019168D" w:rsidRPr="0019168D">
        <w:rPr>
          <w:rFonts w:ascii="Arial" w:hAnsi="Arial" w:cs="Arial"/>
          <w:b/>
          <w:u w:val="single"/>
        </w:rPr>
        <w:t>:</w:t>
      </w:r>
      <w:r>
        <w:rPr>
          <w:rFonts w:ascii="Arial" w:hAnsi="Arial" w:cs="Arial"/>
        </w:rPr>
        <w:t xml:space="preserve">  Interdependent</w:t>
      </w:r>
    </w:p>
    <w:p w14:paraId="0E3A2750" w14:textId="77777777" w:rsidR="00C05CA7" w:rsidRDefault="00C05CA7" w:rsidP="00D82ADA">
      <w:pPr>
        <w:rPr>
          <w:rFonts w:ascii="Arial" w:hAnsi="Arial" w:cs="Arial"/>
        </w:rPr>
      </w:pPr>
    </w:p>
    <w:p w14:paraId="6279281A" w14:textId="455DB74C" w:rsidR="0038237D" w:rsidRDefault="0038237D" w:rsidP="0038237D">
      <w:pPr>
        <w:autoSpaceDE w:val="0"/>
        <w:autoSpaceDN w:val="0"/>
        <w:adjustRightInd w:val="0"/>
        <w:spacing w:before="100" w:after="100"/>
        <w:rPr>
          <w:rFonts w:ascii="Arial" w:hAnsi="Arial" w:cs="Arial"/>
        </w:rPr>
      </w:pPr>
      <w:r w:rsidRPr="0038237D">
        <w:rPr>
          <w:rFonts w:ascii="Arial" w:hAnsi="Arial" w:cs="Arial"/>
        </w:rPr>
        <w:t xml:space="preserve">Hepatitis C virus (HCV) antibody testing </w:t>
      </w:r>
      <w:r w:rsidR="00AE13DD">
        <w:rPr>
          <w:rFonts w:ascii="Arial" w:hAnsi="Arial" w:cs="Arial"/>
        </w:rPr>
        <w:t>will be completed on all</w:t>
      </w:r>
      <w:r w:rsidRPr="0038237D">
        <w:rPr>
          <w:rFonts w:ascii="Arial" w:hAnsi="Arial" w:cs="Arial"/>
        </w:rPr>
        <w:t xml:space="preserve"> </w:t>
      </w:r>
      <w:r>
        <w:rPr>
          <w:rFonts w:ascii="Arial" w:hAnsi="Arial" w:cs="Arial"/>
        </w:rPr>
        <w:t xml:space="preserve">kidney and </w:t>
      </w:r>
      <w:r w:rsidRPr="0038237D">
        <w:rPr>
          <w:rFonts w:ascii="Arial" w:hAnsi="Arial" w:cs="Arial"/>
        </w:rPr>
        <w:t xml:space="preserve">pancreas transplant evaluation candidates. </w:t>
      </w:r>
    </w:p>
    <w:p w14:paraId="55203033" w14:textId="77777777" w:rsidR="0038237D" w:rsidRDefault="0038237D" w:rsidP="0038237D">
      <w:pPr>
        <w:pStyle w:val="ListParagraph"/>
        <w:numPr>
          <w:ilvl w:val="0"/>
          <w:numId w:val="16"/>
        </w:numPr>
        <w:autoSpaceDE w:val="0"/>
        <w:autoSpaceDN w:val="0"/>
        <w:adjustRightInd w:val="0"/>
        <w:spacing w:before="100" w:after="100"/>
        <w:rPr>
          <w:rFonts w:ascii="Arial" w:hAnsi="Arial" w:cs="Arial"/>
        </w:rPr>
      </w:pPr>
      <w:r w:rsidRPr="0038237D">
        <w:rPr>
          <w:rFonts w:ascii="Arial" w:hAnsi="Arial" w:cs="Arial"/>
        </w:rPr>
        <w:t xml:space="preserve">Patients who test positive for HCV antibody will undergo genotype testing, HCV RNA quantification, and Hepatology consultation. </w:t>
      </w:r>
    </w:p>
    <w:p w14:paraId="549EAC26" w14:textId="77777777" w:rsidR="0038237D" w:rsidRDefault="0038237D" w:rsidP="0038237D">
      <w:pPr>
        <w:pStyle w:val="ListParagraph"/>
        <w:numPr>
          <w:ilvl w:val="0"/>
          <w:numId w:val="16"/>
        </w:numPr>
        <w:autoSpaceDE w:val="0"/>
        <w:autoSpaceDN w:val="0"/>
        <w:adjustRightInd w:val="0"/>
        <w:spacing w:before="100" w:after="100"/>
        <w:rPr>
          <w:rFonts w:ascii="Arial" w:hAnsi="Arial" w:cs="Arial"/>
        </w:rPr>
      </w:pPr>
      <w:r w:rsidRPr="0038237D">
        <w:rPr>
          <w:rFonts w:ascii="Arial" w:hAnsi="Arial" w:cs="Arial"/>
        </w:rPr>
        <w:t xml:space="preserve">HCV Ab positive candidates who are </w:t>
      </w:r>
      <w:proofErr w:type="spellStart"/>
      <w:r w:rsidRPr="0038237D">
        <w:rPr>
          <w:rFonts w:ascii="Arial" w:hAnsi="Arial" w:cs="Arial"/>
        </w:rPr>
        <w:t>viremic</w:t>
      </w:r>
      <w:proofErr w:type="spellEnd"/>
      <w:r w:rsidRPr="0038237D">
        <w:rPr>
          <w:rFonts w:ascii="Arial" w:hAnsi="Arial" w:cs="Arial"/>
        </w:rPr>
        <w:t xml:space="preserve"> for Hepatitis C, regardless of genotype, will be considered candidates for kidneys from donors who are Hepatitis C Ab positive.</w:t>
      </w:r>
    </w:p>
    <w:p w14:paraId="2BC3F1E3" w14:textId="77777777" w:rsidR="0038237D" w:rsidRDefault="0038237D" w:rsidP="0038237D">
      <w:pPr>
        <w:pStyle w:val="ListParagraph"/>
        <w:numPr>
          <w:ilvl w:val="0"/>
          <w:numId w:val="16"/>
        </w:numPr>
        <w:autoSpaceDE w:val="0"/>
        <w:autoSpaceDN w:val="0"/>
        <w:adjustRightInd w:val="0"/>
        <w:spacing w:before="100" w:after="100"/>
        <w:rPr>
          <w:rFonts w:ascii="Arial" w:hAnsi="Arial" w:cs="Arial"/>
        </w:rPr>
      </w:pPr>
      <w:r w:rsidRPr="0038237D">
        <w:rPr>
          <w:rFonts w:ascii="Arial" w:hAnsi="Arial" w:cs="Arial"/>
        </w:rPr>
        <w:t xml:space="preserve">The Hepatology service will perform evaluation, follow up, and surveillance on active kidney transplant candidates with a positive HCV Ab. </w:t>
      </w:r>
    </w:p>
    <w:p w14:paraId="2E701A5B" w14:textId="451FFF0C" w:rsidR="0038237D" w:rsidRPr="0038237D" w:rsidRDefault="0038237D" w:rsidP="0038237D">
      <w:pPr>
        <w:pStyle w:val="ListParagraph"/>
        <w:numPr>
          <w:ilvl w:val="0"/>
          <w:numId w:val="16"/>
        </w:numPr>
        <w:autoSpaceDE w:val="0"/>
        <w:autoSpaceDN w:val="0"/>
        <w:adjustRightInd w:val="0"/>
        <w:spacing w:before="100" w:after="100"/>
        <w:rPr>
          <w:rFonts w:ascii="Arial" w:hAnsi="Arial" w:cs="Arial"/>
        </w:rPr>
      </w:pPr>
      <w:r w:rsidRPr="0038237D">
        <w:rPr>
          <w:rFonts w:ascii="Arial" w:hAnsi="Arial" w:cs="Arial"/>
        </w:rPr>
        <w:t xml:space="preserve">The Hepatology service will evaluate the </w:t>
      </w:r>
      <w:proofErr w:type="spellStart"/>
      <w:r w:rsidRPr="0038237D">
        <w:rPr>
          <w:rFonts w:ascii="Arial" w:hAnsi="Arial" w:cs="Arial"/>
        </w:rPr>
        <w:t>HCVAb</w:t>
      </w:r>
      <w:proofErr w:type="spellEnd"/>
      <w:r w:rsidRPr="0038237D">
        <w:rPr>
          <w:rFonts w:ascii="Arial" w:hAnsi="Arial" w:cs="Arial"/>
        </w:rPr>
        <w:t xml:space="preserve"> positive kidney transplant candidate based on the following definitions and candidate presentations</w:t>
      </w:r>
      <w:r>
        <w:rPr>
          <w:rFonts w:ascii="Arial" w:hAnsi="Arial" w:cs="Arial"/>
        </w:rPr>
        <w:t>:</w:t>
      </w:r>
    </w:p>
    <w:p w14:paraId="1DAFD127" w14:textId="77777777" w:rsidR="0038237D" w:rsidRPr="0038237D" w:rsidRDefault="0038237D" w:rsidP="0038237D">
      <w:pPr>
        <w:autoSpaceDE w:val="0"/>
        <w:autoSpaceDN w:val="0"/>
        <w:adjustRightInd w:val="0"/>
        <w:spacing w:before="100" w:after="100"/>
        <w:ind w:left="720"/>
        <w:rPr>
          <w:rFonts w:ascii="Arial" w:hAnsi="Arial" w:cs="Arial"/>
          <w:bCs/>
        </w:rPr>
      </w:pPr>
      <w:r w:rsidRPr="0038237D">
        <w:rPr>
          <w:rFonts w:ascii="Arial" w:hAnsi="Arial" w:cs="Arial"/>
          <w:bCs/>
        </w:rPr>
        <w:t>Features concerning for cirrhosis and portal hypertension:</w:t>
      </w:r>
    </w:p>
    <w:p w14:paraId="46F8E8A0" w14:textId="77777777" w:rsidR="0038237D" w:rsidRDefault="0038237D" w:rsidP="0038237D">
      <w:pPr>
        <w:pStyle w:val="ListParagraph"/>
        <w:numPr>
          <w:ilvl w:val="0"/>
          <w:numId w:val="15"/>
        </w:numPr>
        <w:autoSpaceDE w:val="0"/>
        <w:autoSpaceDN w:val="0"/>
        <w:adjustRightInd w:val="0"/>
        <w:spacing w:before="100" w:after="100"/>
        <w:rPr>
          <w:rFonts w:ascii="Arial" w:hAnsi="Arial" w:cs="Arial"/>
          <w:bCs/>
        </w:rPr>
      </w:pPr>
      <w:r w:rsidRPr="0038237D">
        <w:rPr>
          <w:rFonts w:ascii="Arial" w:hAnsi="Arial" w:cs="Arial"/>
          <w:bCs/>
        </w:rPr>
        <w:t xml:space="preserve">Radiographic: </w:t>
      </w:r>
    </w:p>
    <w:p w14:paraId="40BEB6DE" w14:textId="0263BA90" w:rsidR="0038237D" w:rsidRPr="0038237D" w:rsidRDefault="0038237D" w:rsidP="0038237D">
      <w:pPr>
        <w:pStyle w:val="ListParagraph"/>
        <w:numPr>
          <w:ilvl w:val="3"/>
          <w:numId w:val="15"/>
        </w:numPr>
        <w:autoSpaceDE w:val="0"/>
        <w:autoSpaceDN w:val="0"/>
        <w:adjustRightInd w:val="0"/>
        <w:spacing w:before="100" w:after="100"/>
        <w:rPr>
          <w:rFonts w:ascii="Arial" w:hAnsi="Arial" w:cs="Arial"/>
          <w:bCs/>
        </w:rPr>
      </w:pPr>
      <w:r w:rsidRPr="0038237D">
        <w:rPr>
          <w:rFonts w:ascii="Arial" w:hAnsi="Arial" w:cs="Arial"/>
          <w:bCs/>
        </w:rPr>
        <w:t>Features of possible fibrosis/cirrhosis: abnormal liver morphology, enhancement characteristics of fibrosis</w:t>
      </w:r>
    </w:p>
    <w:p w14:paraId="6F7A3597" w14:textId="77777777" w:rsidR="0038237D" w:rsidRPr="0038237D" w:rsidRDefault="0038237D" w:rsidP="0038237D">
      <w:pPr>
        <w:numPr>
          <w:ilvl w:val="3"/>
          <w:numId w:val="15"/>
        </w:numPr>
        <w:autoSpaceDE w:val="0"/>
        <w:autoSpaceDN w:val="0"/>
        <w:adjustRightInd w:val="0"/>
        <w:spacing w:before="100" w:after="100"/>
        <w:rPr>
          <w:rFonts w:ascii="Arial" w:hAnsi="Arial" w:cs="Arial"/>
          <w:bCs/>
        </w:rPr>
      </w:pPr>
      <w:r w:rsidRPr="0038237D">
        <w:rPr>
          <w:rFonts w:ascii="Arial" w:hAnsi="Arial" w:cs="Arial"/>
          <w:bCs/>
        </w:rPr>
        <w:t>Features of portal hypertension: spleen &gt; 13cm, intra-abdominal varices, dilated portal vein, ascites</w:t>
      </w:r>
    </w:p>
    <w:p w14:paraId="3E66E4FB" w14:textId="77777777" w:rsidR="0038237D" w:rsidRPr="0038237D" w:rsidRDefault="0038237D" w:rsidP="0038237D">
      <w:pPr>
        <w:numPr>
          <w:ilvl w:val="0"/>
          <w:numId w:val="15"/>
        </w:numPr>
        <w:autoSpaceDE w:val="0"/>
        <w:autoSpaceDN w:val="0"/>
        <w:adjustRightInd w:val="0"/>
        <w:spacing w:before="100" w:after="100"/>
        <w:rPr>
          <w:rFonts w:ascii="Arial" w:hAnsi="Arial" w:cs="Arial"/>
          <w:bCs/>
        </w:rPr>
      </w:pPr>
      <w:r w:rsidRPr="0038237D">
        <w:rPr>
          <w:rFonts w:ascii="Arial" w:hAnsi="Arial" w:cs="Arial"/>
          <w:bCs/>
        </w:rPr>
        <w:t>Laboratory Criteria: Platelets &lt; 130</w:t>
      </w:r>
    </w:p>
    <w:p w14:paraId="0C6B463B" w14:textId="77777777" w:rsidR="0038237D" w:rsidRPr="0038237D" w:rsidRDefault="0038237D" w:rsidP="0038237D">
      <w:pPr>
        <w:numPr>
          <w:ilvl w:val="0"/>
          <w:numId w:val="15"/>
        </w:numPr>
        <w:autoSpaceDE w:val="0"/>
        <w:autoSpaceDN w:val="0"/>
        <w:adjustRightInd w:val="0"/>
        <w:spacing w:before="100" w:after="100"/>
        <w:rPr>
          <w:rFonts w:ascii="Arial" w:hAnsi="Arial" w:cs="Arial"/>
          <w:bCs/>
        </w:rPr>
      </w:pPr>
      <w:r w:rsidRPr="0038237D">
        <w:rPr>
          <w:rFonts w:ascii="Arial" w:hAnsi="Arial" w:cs="Arial"/>
          <w:bCs/>
        </w:rPr>
        <w:t xml:space="preserve">Physical Exam: Spider </w:t>
      </w:r>
      <w:proofErr w:type="spellStart"/>
      <w:r w:rsidRPr="0038237D">
        <w:rPr>
          <w:rFonts w:ascii="Arial" w:hAnsi="Arial" w:cs="Arial"/>
          <w:bCs/>
        </w:rPr>
        <w:t>angiomata</w:t>
      </w:r>
      <w:proofErr w:type="spellEnd"/>
      <w:r w:rsidRPr="0038237D">
        <w:rPr>
          <w:rFonts w:ascii="Arial" w:hAnsi="Arial" w:cs="Arial"/>
          <w:bCs/>
        </w:rPr>
        <w:t>/caput medusa, ascites</w:t>
      </w:r>
    </w:p>
    <w:p w14:paraId="61178991" w14:textId="77777777" w:rsidR="0038237D" w:rsidRDefault="0038237D" w:rsidP="0038237D">
      <w:pPr>
        <w:pStyle w:val="ListParagraph"/>
        <w:numPr>
          <w:ilvl w:val="0"/>
          <w:numId w:val="16"/>
        </w:numPr>
        <w:autoSpaceDE w:val="0"/>
        <w:autoSpaceDN w:val="0"/>
        <w:adjustRightInd w:val="0"/>
        <w:spacing w:before="100" w:after="100"/>
        <w:rPr>
          <w:rFonts w:ascii="Arial" w:hAnsi="Arial" w:cs="Arial"/>
          <w:bCs/>
        </w:rPr>
      </w:pPr>
      <w:r w:rsidRPr="0038237D">
        <w:rPr>
          <w:rFonts w:ascii="Arial" w:hAnsi="Arial" w:cs="Arial"/>
          <w:bCs/>
        </w:rPr>
        <w:t>Candidates with no radiographic features, laboratory features, or physical exam features</w:t>
      </w:r>
      <w:r w:rsidRPr="0038237D">
        <w:rPr>
          <w:rFonts w:ascii="Arial" w:hAnsi="Arial" w:cs="Arial"/>
        </w:rPr>
        <w:t xml:space="preserve"> </w:t>
      </w:r>
      <w:r w:rsidRPr="0038237D">
        <w:rPr>
          <w:rFonts w:ascii="Arial" w:hAnsi="Arial" w:cs="Arial"/>
          <w:bCs/>
        </w:rPr>
        <w:t xml:space="preserve">of advanced disease can proceed with active kidney transplant listing. </w:t>
      </w:r>
    </w:p>
    <w:p w14:paraId="55820109" w14:textId="77777777" w:rsidR="0038237D" w:rsidRDefault="0038237D" w:rsidP="0038237D">
      <w:pPr>
        <w:pStyle w:val="ListParagraph"/>
        <w:numPr>
          <w:ilvl w:val="1"/>
          <w:numId w:val="16"/>
        </w:numPr>
        <w:autoSpaceDE w:val="0"/>
        <w:autoSpaceDN w:val="0"/>
        <w:adjustRightInd w:val="0"/>
        <w:spacing w:before="100" w:after="100"/>
        <w:rPr>
          <w:rFonts w:ascii="Arial" w:hAnsi="Arial" w:cs="Arial"/>
          <w:bCs/>
        </w:rPr>
      </w:pPr>
      <w:r w:rsidRPr="0038237D">
        <w:rPr>
          <w:rFonts w:ascii="Arial" w:hAnsi="Arial" w:cs="Arial"/>
          <w:bCs/>
        </w:rPr>
        <w:t xml:space="preserve">These patients should be evaluated by hepatology every 2 years while on the waiting list.  </w:t>
      </w:r>
    </w:p>
    <w:p w14:paraId="1BF12BE4" w14:textId="7AB1DED8" w:rsidR="0038237D" w:rsidRDefault="0038237D" w:rsidP="0038237D">
      <w:pPr>
        <w:pStyle w:val="ListParagraph"/>
        <w:numPr>
          <w:ilvl w:val="0"/>
          <w:numId w:val="16"/>
        </w:numPr>
        <w:autoSpaceDE w:val="0"/>
        <w:autoSpaceDN w:val="0"/>
        <w:adjustRightInd w:val="0"/>
        <w:spacing w:before="100" w:after="100"/>
        <w:rPr>
          <w:rFonts w:ascii="Arial" w:hAnsi="Arial" w:cs="Arial"/>
          <w:bCs/>
        </w:rPr>
      </w:pPr>
      <w:r w:rsidRPr="0038237D">
        <w:rPr>
          <w:rFonts w:ascii="Arial" w:hAnsi="Arial" w:cs="Arial"/>
          <w:bCs/>
        </w:rPr>
        <w:t>Candidates with either radiographic features of fibrosis/cirrhosis or platelets &lt; 1</w:t>
      </w:r>
      <w:r>
        <w:rPr>
          <w:rFonts w:ascii="Arial" w:hAnsi="Arial" w:cs="Arial"/>
          <w:bCs/>
        </w:rPr>
        <w:t>3</w:t>
      </w:r>
      <w:r w:rsidRPr="0038237D">
        <w:rPr>
          <w:rFonts w:ascii="Arial" w:hAnsi="Arial" w:cs="Arial"/>
          <w:bCs/>
        </w:rPr>
        <w:t>0 or physical exam features, but</w:t>
      </w:r>
      <w:r w:rsidRPr="0038237D">
        <w:rPr>
          <w:rFonts w:ascii="Arial" w:hAnsi="Arial" w:cs="Arial"/>
        </w:rPr>
        <w:t xml:space="preserve"> </w:t>
      </w:r>
      <w:r w:rsidRPr="0038237D">
        <w:rPr>
          <w:rFonts w:ascii="Arial" w:hAnsi="Arial" w:cs="Arial"/>
          <w:bCs/>
        </w:rPr>
        <w:t xml:space="preserve">no radiographic features of portal hypertension can proceed with </w:t>
      </w:r>
      <w:proofErr w:type="spellStart"/>
      <w:r w:rsidRPr="0038237D">
        <w:rPr>
          <w:rFonts w:ascii="Arial" w:hAnsi="Arial" w:cs="Arial"/>
          <w:bCs/>
        </w:rPr>
        <w:t>transjugular</w:t>
      </w:r>
      <w:proofErr w:type="spellEnd"/>
      <w:r w:rsidRPr="0038237D">
        <w:rPr>
          <w:rFonts w:ascii="Arial" w:hAnsi="Arial" w:cs="Arial"/>
          <w:bCs/>
        </w:rPr>
        <w:t xml:space="preserve"> liver biopsy with hepatic vein pressure gradient measurement. </w:t>
      </w:r>
    </w:p>
    <w:p w14:paraId="13161F69" w14:textId="185A1937" w:rsidR="0038237D" w:rsidRDefault="0038237D" w:rsidP="0038237D">
      <w:pPr>
        <w:pStyle w:val="ListParagraph"/>
        <w:numPr>
          <w:ilvl w:val="0"/>
          <w:numId w:val="16"/>
        </w:numPr>
        <w:autoSpaceDE w:val="0"/>
        <w:autoSpaceDN w:val="0"/>
        <w:adjustRightInd w:val="0"/>
        <w:spacing w:before="100" w:after="100"/>
        <w:rPr>
          <w:rFonts w:ascii="Arial" w:hAnsi="Arial" w:cs="Arial"/>
          <w:bCs/>
        </w:rPr>
      </w:pPr>
      <w:r w:rsidRPr="0038237D">
        <w:rPr>
          <w:rFonts w:ascii="Arial" w:hAnsi="Arial" w:cs="Arial"/>
          <w:bCs/>
        </w:rPr>
        <w:t xml:space="preserve">Patients without portal hypertension and/or cirrhosis on liver biopsy can proceed to renal transplantation.  </w:t>
      </w:r>
    </w:p>
    <w:p w14:paraId="52556995" w14:textId="0605D4E3" w:rsidR="0038237D" w:rsidRPr="0038237D" w:rsidRDefault="0038237D" w:rsidP="0038237D">
      <w:pPr>
        <w:pStyle w:val="ListParagraph"/>
        <w:numPr>
          <w:ilvl w:val="0"/>
          <w:numId w:val="16"/>
        </w:numPr>
        <w:autoSpaceDE w:val="0"/>
        <w:autoSpaceDN w:val="0"/>
        <w:adjustRightInd w:val="0"/>
        <w:spacing w:before="100" w:after="100"/>
        <w:rPr>
          <w:rFonts w:ascii="Arial" w:hAnsi="Arial" w:cs="Arial"/>
          <w:bCs/>
        </w:rPr>
      </w:pPr>
      <w:r>
        <w:rPr>
          <w:rFonts w:ascii="Arial" w:hAnsi="Arial" w:cs="Arial"/>
          <w:bCs/>
        </w:rPr>
        <w:t>C</w:t>
      </w:r>
      <w:r w:rsidRPr="0038237D">
        <w:rPr>
          <w:rFonts w:ascii="Arial" w:hAnsi="Arial" w:cs="Arial"/>
          <w:bCs/>
        </w:rPr>
        <w:t>andidates with presence of radiographic features of portal hypertension, regardless of presence or absence of other features and are otherwise reasonable to consider for liver transplant may proceed with liver transplant evaluation.</w:t>
      </w:r>
    </w:p>
    <w:p w14:paraId="31C055BE" w14:textId="7863493B" w:rsidR="0038237D" w:rsidRPr="0038237D" w:rsidRDefault="0038237D" w:rsidP="0038237D">
      <w:pPr>
        <w:pStyle w:val="ListParagraph"/>
        <w:numPr>
          <w:ilvl w:val="0"/>
          <w:numId w:val="16"/>
        </w:numPr>
        <w:autoSpaceDE w:val="0"/>
        <w:autoSpaceDN w:val="0"/>
        <w:adjustRightInd w:val="0"/>
        <w:spacing w:before="100" w:after="100"/>
        <w:rPr>
          <w:rFonts w:ascii="Arial" w:hAnsi="Arial" w:cs="Arial"/>
          <w:bCs/>
        </w:rPr>
      </w:pPr>
      <w:r w:rsidRPr="0038237D">
        <w:rPr>
          <w:rFonts w:ascii="Arial" w:hAnsi="Arial" w:cs="Arial"/>
          <w:bCs/>
        </w:rPr>
        <w:lastRenderedPageBreak/>
        <w:t>All renal transplant recipients with hepatitis C should have an appointment with transpl</w:t>
      </w:r>
      <w:r>
        <w:rPr>
          <w:rFonts w:ascii="Arial" w:hAnsi="Arial" w:cs="Arial"/>
          <w:bCs/>
        </w:rPr>
        <w:t>ant hepatology at 3 months post-</w:t>
      </w:r>
      <w:r w:rsidRPr="0038237D">
        <w:rPr>
          <w:rFonts w:ascii="Arial" w:hAnsi="Arial" w:cs="Arial"/>
          <w:bCs/>
        </w:rPr>
        <w:t>transplant.</w:t>
      </w:r>
    </w:p>
    <w:p w14:paraId="1DFBA28E" w14:textId="77777777" w:rsidR="00C05CA7" w:rsidRDefault="00C05CA7" w:rsidP="00D82ADA">
      <w:pPr>
        <w:rPr>
          <w:rFonts w:ascii="Arial" w:hAnsi="Arial" w:cs="Arial"/>
        </w:rPr>
      </w:pPr>
    </w:p>
    <w:p w14:paraId="0754591E" w14:textId="77777777" w:rsidR="009006C3" w:rsidRDefault="009006C3" w:rsidP="00F42056">
      <w:pPr>
        <w:ind w:left="720" w:hanging="720"/>
        <w:rPr>
          <w:rFonts w:ascii="Arial" w:hAnsi="Arial" w:cs="Arial"/>
        </w:rPr>
      </w:pPr>
    </w:p>
    <w:p w14:paraId="132C8ABB" w14:textId="34A5749E" w:rsidR="00D31825" w:rsidRPr="0019168D"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p>
    <w:p w14:paraId="0128F320" w14:textId="77777777" w:rsidR="00E72A6B" w:rsidRPr="00E72A6B" w:rsidRDefault="00E72A6B" w:rsidP="00E72A6B">
      <w:pPr>
        <w:pStyle w:val="ListParagraph"/>
        <w:ind w:left="0"/>
        <w:rPr>
          <w:rFonts w:ascii="Arial" w:hAnsi="Arial" w:cs="Arial"/>
        </w:rPr>
      </w:pPr>
      <w:r w:rsidRPr="00E72A6B">
        <w:rPr>
          <w:rFonts w:ascii="Arial" w:hAnsi="Arial" w:cs="Arial"/>
        </w:rPr>
        <w:t>Form: Informed Consent: Participation in Hepatitis C Donor Program</w:t>
      </w:r>
    </w:p>
    <w:p w14:paraId="1B03CA86" w14:textId="77777777" w:rsidR="00E72A6B" w:rsidRPr="00E72A6B" w:rsidRDefault="00E72A6B" w:rsidP="00E72A6B">
      <w:pPr>
        <w:pStyle w:val="ListParagraph"/>
        <w:ind w:left="0"/>
        <w:rPr>
          <w:rFonts w:ascii="Arial" w:hAnsi="Arial" w:cs="Arial"/>
        </w:rPr>
      </w:pPr>
      <w:r w:rsidRPr="00E72A6B">
        <w:rPr>
          <w:rFonts w:ascii="Arial" w:hAnsi="Arial" w:cs="Arial"/>
        </w:rPr>
        <w:t>Related Document: OPP Management: Audit process for HCV quantitative PCR positive kidney</w:t>
      </w:r>
    </w:p>
    <w:p w14:paraId="4A160FAC" w14:textId="7B7D3D7C" w:rsidR="00E738BE" w:rsidRDefault="00E72A6B" w:rsidP="00E72A6B">
      <w:pPr>
        <w:pStyle w:val="ListParagraph"/>
        <w:ind w:left="0"/>
        <w:rPr>
          <w:rFonts w:ascii="Arial" w:hAnsi="Arial" w:cs="Arial"/>
        </w:rPr>
      </w:pPr>
      <w:r w:rsidRPr="00E72A6B">
        <w:rPr>
          <w:rFonts w:ascii="Arial" w:hAnsi="Arial" w:cs="Arial"/>
        </w:rPr>
        <w:t xml:space="preserve">recipients </w:t>
      </w:r>
      <w:r w:rsidRPr="00E72A6B">
        <w:rPr>
          <w:rFonts w:ascii="Arial" w:hAnsi="Arial" w:cs="Arial"/>
        </w:rPr>
        <w:cr/>
      </w:r>
    </w:p>
    <w:p w14:paraId="0A4B29F7" w14:textId="77777777" w:rsidR="006F1E72" w:rsidRPr="00480796" w:rsidRDefault="006F1E72" w:rsidP="006F1E72">
      <w:pPr>
        <w:pStyle w:val="ListParagraph"/>
        <w:ind w:left="0"/>
        <w:rPr>
          <w:rFonts w:ascii="Arial" w:hAnsi="Arial" w:cs="Arial"/>
        </w:rPr>
      </w:pPr>
    </w:p>
    <w:p w14:paraId="5A43D9AD" w14:textId="695B2F90"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r w:rsidR="00AE13DD">
        <w:rPr>
          <w:rFonts w:ascii="Arial" w:hAnsi="Arial" w:cs="Arial"/>
        </w:rPr>
        <w:t>N/A</w:t>
      </w:r>
    </w:p>
    <w:p w14:paraId="04D0578C" w14:textId="77777777" w:rsidR="00F42056" w:rsidRDefault="00F42056" w:rsidP="00D82ADA">
      <w:pPr>
        <w:rPr>
          <w:rFonts w:ascii="Arial" w:hAnsi="Arial" w:cs="Arial"/>
        </w:rPr>
      </w:pPr>
    </w:p>
    <w:p w14:paraId="49807A6C" w14:textId="77777777" w:rsidR="006F1E72" w:rsidRPr="00120DE3" w:rsidRDefault="006F1E72" w:rsidP="00D82ADA">
      <w:pPr>
        <w:rPr>
          <w:rFonts w:ascii="Arial" w:hAnsi="Arial" w:cs="Arial"/>
        </w:rPr>
      </w:pPr>
    </w:p>
    <w:p w14:paraId="47BB4178" w14:textId="15206E13" w:rsidR="00A973EE" w:rsidRPr="00AE13DD" w:rsidRDefault="00A973EE" w:rsidP="00D82ADA">
      <w:pPr>
        <w:rPr>
          <w:rFonts w:ascii="Arial" w:hAnsi="Arial" w:cs="Arial"/>
        </w:rPr>
      </w:pPr>
      <w:r w:rsidRPr="0019168D">
        <w:rPr>
          <w:rFonts w:ascii="Arial" w:hAnsi="Arial" w:cs="Arial"/>
          <w:b/>
          <w:u w:val="single"/>
        </w:rPr>
        <w:t>REFERENCES AND SOURCES OF EVIDENCE</w:t>
      </w:r>
      <w:r w:rsidR="0019168D" w:rsidRPr="0019168D">
        <w:rPr>
          <w:rFonts w:ascii="Arial" w:hAnsi="Arial" w:cs="Arial"/>
          <w:b/>
          <w:u w:val="single"/>
        </w:rPr>
        <w:t>:</w:t>
      </w:r>
      <w:r w:rsidR="00AE13DD">
        <w:rPr>
          <w:rFonts w:ascii="Arial" w:hAnsi="Arial" w:cs="Arial"/>
        </w:rPr>
        <w:t xml:space="preserve">  N/A</w:t>
      </w:r>
    </w:p>
    <w:p w14:paraId="45BB5D4B" w14:textId="77777777" w:rsidR="00E72A6B" w:rsidRDefault="00E72A6B" w:rsidP="00D82ADA">
      <w:pPr>
        <w:rPr>
          <w:rFonts w:ascii="Arial" w:hAnsi="Arial" w:cs="Arial"/>
        </w:rPr>
      </w:pPr>
      <w:r w:rsidRPr="00E72A6B">
        <w:rPr>
          <w:rFonts w:ascii="Arial" w:hAnsi="Arial" w:cs="Arial"/>
        </w:rPr>
        <w:t xml:space="preserve">https://www.aafp.org/afp/2006/0901/p756.html </w:t>
      </w:r>
    </w:p>
    <w:p w14:paraId="7D24A5C3" w14:textId="3FF6CEB4" w:rsidR="00757FDD" w:rsidRDefault="00E72A6B" w:rsidP="00D82ADA">
      <w:pPr>
        <w:rPr>
          <w:rFonts w:ascii="Arial" w:hAnsi="Arial" w:cs="Arial"/>
        </w:rPr>
      </w:pPr>
      <w:r w:rsidRPr="00E72A6B">
        <w:rPr>
          <w:rFonts w:ascii="Arial" w:hAnsi="Arial" w:cs="Arial"/>
        </w:rPr>
        <w:t>https://www.aasld.org/publications/practice-guidelines</w:t>
      </w:r>
    </w:p>
    <w:p w14:paraId="60E569C2" w14:textId="77777777" w:rsidR="006F1E72" w:rsidRDefault="006F1E72" w:rsidP="00D82ADA">
      <w:pPr>
        <w:rPr>
          <w:rFonts w:ascii="Arial" w:hAnsi="Arial" w:cs="Arial"/>
        </w:rPr>
      </w:pPr>
    </w:p>
    <w:p w14:paraId="4C1C9072" w14:textId="7A649BAA" w:rsidR="00A973EE" w:rsidRPr="00E72A6B" w:rsidRDefault="005E39CF" w:rsidP="00D82ADA">
      <w:pPr>
        <w:rPr>
          <w:rFonts w:ascii="Arial" w:hAnsi="Arial" w:cs="Arial"/>
        </w:rPr>
      </w:pPr>
      <w:r w:rsidRPr="005E39CF">
        <w:rPr>
          <w:rFonts w:ascii="Arial" w:hAnsi="Arial" w:cs="Arial"/>
          <w:b/>
          <w:u w:val="single"/>
        </w:rPr>
        <w:t>KEY WORDS:</w:t>
      </w:r>
      <w:r w:rsidR="00E72A6B">
        <w:rPr>
          <w:rFonts w:ascii="Arial" w:hAnsi="Arial" w:cs="Arial"/>
        </w:rPr>
        <w:t xml:space="preserve"> Hepatitis C, kidney transplant</w:t>
      </w:r>
    </w:p>
    <w:p w14:paraId="5C17203A" w14:textId="77777777" w:rsidR="006F1E72" w:rsidRDefault="006F1E72" w:rsidP="00D82ADA">
      <w:pPr>
        <w:rPr>
          <w:rFonts w:ascii="Arial" w:hAnsi="Arial" w:cs="Arial"/>
          <w:b/>
          <w:u w:val="single"/>
        </w:rPr>
      </w:pPr>
    </w:p>
    <w:sectPr w:rsidR="006F1E72" w:rsidSect="00D82AD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9784" w14:textId="77777777" w:rsidR="00F238E2" w:rsidRDefault="00F238E2" w:rsidP="00401E3E">
      <w:r>
        <w:separator/>
      </w:r>
    </w:p>
  </w:endnote>
  <w:endnote w:type="continuationSeparator" w:id="0">
    <w:p w14:paraId="05A3DEBF" w14:textId="77777777" w:rsidR="00F238E2" w:rsidRDefault="00F238E2"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egoe UI">
    <w:altName w:val="Arial"/>
    <w:panose1 w:val="020B0604020202020204"/>
    <w:charset w:val="00"/>
    <w:family w:val="swiss"/>
    <w:notTrueType/>
    <w:pitch w:val="variable"/>
    <w:sig w:usb0="00000003" w:usb1="00000000" w:usb2="00000000" w:usb3="00000000" w:csb0="00000001" w:csb1="00000000"/>
  </w:font>
  <w:font w:name="DTPRZ J+ Times New 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BF1A" w14:textId="77777777" w:rsidR="00E72A6B" w:rsidRDefault="00E7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151A" w14:textId="77777777" w:rsidR="00633FB9" w:rsidRDefault="00633FB9" w:rsidP="00120DE3">
    <w:pPr>
      <w:pStyle w:val="Footer"/>
      <w:tabs>
        <w:tab w:val="clear" w:pos="4680"/>
        <w:tab w:val="clear" w:pos="9360"/>
        <w:tab w:val="right" w:pos="10368"/>
      </w:tabs>
      <w:rPr>
        <w:rFonts w:ascii="Arial" w:hAnsi="Arial" w:cs="Arial"/>
        <w:sz w:val="16"/>
        <w:szCs w:val="16"/>
      </w:rPr>
    </w:pPr>
  </w:p>
  <w:p w14:paraId="70B59F82" w14:textId="17263314" w:rsidR="00480796" w:rsidRPr="00246CC9" w:rsidRDefault="00E72A6B" w:rsidP="00120DE3">
    <w:pPr>
      <w:pStyle w:val="Footer"/>
      <w:tabs>
        <w:tab w:val="clear" w:pos="4680"/>
        <w:tab w:val="clear" w:pos="9360"/>
        <w:tab w:val="right" w:pos="10368"/>
      </w:tabs>
      <w:rPr>
        <w:rFonts w:ascii="Arial" w:hAnsi="Arial" w:cs="Arial"/>
        <w:sz w:val="16"/>
        <w:szCs w:val="16"/>
      </w:rPr>
    </w:pPr>
    <w:r w:rsidRPr="00E72A6B">
      <w:rPr>
        <w:rFonts w:ascii="Arial" w:hAnsi="Arial" w:cs="Arial"/>
        <w:bCs/>
        <w:sz w:val="16"/>
        <w:szCs w:val="16"/>
      </w:rPr>
      <w:t>Kidney and Pancreas Pre-Transplant: Recipient Hepatitis C Testing and Evaluation</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Pr>
        <w:rFonts w:ascii="Arial" w:hAnsi="Arial" w:cs="Arial"/>
        <w:noProof/>
        <w:sz w:val="16"/>
      </w:rPr>
      <w:t>1</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Pr>
        <w:rFonts w:ascii="Arial" w:hAnsi="Arial" w:cs="Arial"/>
        <w:noProof/>
        <w:sz w:val="16"/>
      </w:rPr>
      <w:t>2</w:t>
    </w:r>
    <w:r w:rsidR="00480796" w:rsidRPr="00246CC9">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E4C7" w14:textId="77777777" w:rsidR="00E72A6B" w:rsidRDefault="00E7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6584" w14:textId="77777777" w:rsidR="00F238E2" w:rsidRDefault="00F238E2" w:rsidP="00401E3E">
      <w:r>
        <w:separator/>
      </w:r>
    </w:p>
  </w:footnote>
  <w:footnote w:type="continuationSeparator" w:id="0">
    <w:p w14:paraId="15F1AB0F" w14:textId="77777777" w:rsidR="00F238E2" w:rsidRDefault="00F238E2" w:rsidP="004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E266" w14:textId="77777777" w:rsidR="00E72A6B" w:rsidRDefault="00E7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0C19" w14:textId="42BA9A12"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480796" w:rsidRPr="00120DE3" w:rsidRDefault="00480796">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7871" w14:textId="77777777" w:rsidR="00E72A6B" w:rsidRDefault="00E72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3478"/>
    <w:multiLevelType w:val="hybridMultilevel"/>
    <w:tmpl w:val="4E241828"/>
    <w:lvl w:ilvl="0" w:tplc="2AA45D8C">
      <w:start w:val="1"/>
      <w:numFmt w:val="lowerLetter"/>
      <w:lvlText w:val="%1."/>
      <w:lvlJc w:val="left"/>
      <w:pPr>
        <w:tabs>
          <w:tab w:val="num" w:pos="1080"/>
        </w:tabs>
        <w:ind w:left="1080" w:hanging="360"/>
      </w:pPr>
      <w:rPr>
        <w:rFonts w:ascii="Arial" w:eastAsia="Times New Roman" w:hAnsi="Arial" w:cs="Arial"/>
      </w:rPr>
    </w:lvl>
    <w:lvl w:ilvl="1" w:tplc="55422F12">
      <w:numFmt w:val="none"/>
      <w:lvlText w:val=""/>
      <w:lvlJc w:val="left"/>
      <w:pPr>
        <w:tabs>
          <w:tab w:val="num" w:pos="720"/>
        </w:tabs>
      </w:pPr>
      <w:rPr>
        <w:rFonts w:cs="Times New Roman"/>
      </w:rPr>
    </w:lvl>
    <w:lvl w:ilvl="2" w:tplc="29F4BADE">
      <w:numFmt w:val="none"/>
      <w:lvlText w:val=""/>
      <w:lvlJc w:val="left"/>
      <w:pPr>
        <w:tabs>
          <w:tab w:val="num" w:pos="720"/>
        </w:tabs>
      </w:pPr>
      <w:rPr>
        <w:rFonts w:cs="Times New Roman"/>
      </w:rPr>
    </w:lvl>
    <w:lvl w:ilvl="3" w:tplc="4BD6B066">
      <w:start w:val="1"/>
      <w:numFmt w:val="bullet"/>
      <w:lvlText w:val=""/>
      <w:lvlJc w:val="left"/>
      <w:pPr>
        <w:tabs>
          <w:tab w:val="num" w:pos="3240"/>
        </w:tabs>
        <w:ind w:left="3240" w:hanging="360"/>
      </w:pPr>
      <w:rPr>
        <w:rFonts w:ascii="Wingdings 2" w:hAnsi="Wingdings 2" w:hint="default"/>
      </w:rPr>
    </w:lvl>
    <w:lvl w:ilvl="4" w:tplc="D0421BF4" w:tentative="1">
      <w:start w:val="1"/>
      <w:numFmt w:val="bullet"/>
      <w:lvlText w:val=""/>
      <w:lvlJc w:val="left"/>
      <w:pPr>
        <w:tabs>
          <w:tab w:val="num" w:pos="3960"/>
        </w:tabs>
        <w:ind w:left="3960" w:hanging="360"/>
      </w:pPr>
      <w:rPr>
        <w:rFonts w:ascii="Wingdings 2" w:hAnsi="Wingdings 2" w:hint="default"/>
      </w:rPr>
    </w:lvl>
    <w:lvl w:ilvl="5" w:tplc="B4D6066A" w:tentative="1">
      <w:start w:val="1"/>
      <w:numFmt w:val="bullet"/>
      <w:lvlText w:val=""/>
      <w:lvlJc w:val="left"/>
      <w:pPr>
        <w:tabs>
          <w:tab w:val="num" w:pos="4680"/>
        </w:tabs>
        <w:ind w:left="4680" w:hanging="360"/>
      </w:pPr>
      <w:rPr>
        <w:rFonts w:ascii="Wingdings 2" w:hAnsi="Wingdings 2" w:hint="default"/>
      </w:rPr>
    </w:lvl>
    <w:lvl w:ilvl="6" w:tplc="75B65A64" w:tentative="1">
      <w:start w:val="1"/>
      <w:numFmt w:val="bullet"/>
      <w:lvlText w:val=""/>
      <w:lvlJc w:val="left"/>
      <w:pPr>
        <w:tabs>
          <w:tab w:val="num" w:pos="5400"/>
        </w:tabs>
        <w:ind w:left="5400" w:hanging="360"/>
      </w:pPr>
      <w:rPr>
        <w:rFonts w:ascii="Wingdings 2" w:hAnsi="Wingdings 2" w:hint="default"/>
      </w:rPr>
    </w:lvl>
    <w:lvl w:ilvl="7" w:tplc="1D48DC00" w:tentative="1">
      <w:start w:val="1"/>
      <w:numFmt w:val="bullet"/>
      <w:lvlText w:val=""/>
      <w:lvlJc w:val="left"/>
      <w:pPr>
        <w:tabs>
          <w:tab w:val="num" w:pos="6120"/>
        </w:tabs>
        <w:ind w:left="6120" w:hanging="360"/>
      </w:pPr>
      <w:rPr>
        <w:rFonts w:ascii="Wingdings 2" w:hAnsi="Wingdings 2" w:hint="default"/>
      </w:rPr>
    </w:lvl>
    <w:lvl w:ilvl="8" w:tplc="867CCCA0" w:tentative="1">
      <w:start w:val="1"/>
      <w:numFmt w:val="bullet"/>
      <w:lvlText w:val=""/>
      <w:lvlJc w:val="left"/>
      <w:pPr>
        <w:tabs>
          <w:tab w:val="num" w:pos="6840"/>
        </w:tabs>
        <w:ind w:left="6840" w:hanging="360"/>
      </w:pPr>
      <w:rPr>
        <w:rFonts w:ascii="Wingdings 2" w:hAnsi="Wingdings 2" w:hint="default"/>
      </w:rPr>
    </w:lvl>
  </w:abstractNum>
  <w:abstractNum w:abstractNumId="2"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30620"/>
    <w:multiLevelType w:val="hybridMultilevel"/>
    <w:tmpl w:val="31EA5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2"/>
  </w:num>
  <w:num w:numId="5">
    <w:abstractNumId w:val="14"/>
  </w:num>
  <w:num w:numId="6">
    <w:abstractNumId w:val="4"/>
  </w:num>
  <w:num w:numId="7">
    <w:abstractNumId w:val="8"/>
  </w:num>
  <w:num w:numId="8">
    <w:abstractNumId w:val="10"/>
  </w:num>
  <w:num w:numId="9">
    <w:abstractNumId w:val="13"/>
  </w:num>
  <w:num w:numId="10">
    <w:abstractNumId w:val="11"/>
  </w:num>
  <w:num w:numId="11">
    <w:abstractNumId w:val="6"/>
  </w:num>
  <w:num w:numId="12">
    <w:abstractNumId w:val="9"/>
  </w:num>
  <w:num w:numId="13">
    <w:abstractNumId w:val="5"/>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DA"/>
    <w:rsid w:val="00023D62"/>
    <w:rsid w:val="000402D1"/>
    <w:rsid w:val="00045E70"/>
    <w:rsid w:val="00061A36"/>
    <w:rsid w:val="0007395E"/>
    <w:rsid w:val="0008689D"/>
    <w:rsid w:val="000B2B8C"/>
    <w:rsid w:val="000C5CA1"/>
    <w:rsid w:val="000E6894"/>
    <w:rsid w:val="000E7E6C"/>
    <w:rsid w:val="000F530B"/>
    <w:rsid w:val="00120DE3"/>
    <w:rsid w:val="00132810"/>
    <w:rsid w:val="00150BDD"/>
    <w:rsid w:val="001644D7"/>
    <w:rsid w:val="001713CF"/>
    <w:rsid w:val="0018574A"/>
    <w:rsid w:val="001864B9"/>
    <w:rsid w:val="0019168D"/>
    <w:rsid w:val="001921CD"/>
    <w:rsid w:val="001C53F2"/>
    <w:rsid w:val="001F3959"/>
    <w:rsid w:val="001F57BC"/>
    <w:rsid w:val="00233309"/>
    <w:rsid w:val="00246CC9"/>
    <w:rsid w:val="0025127C"/>
    <w:rsid w:val="00256706"/>
    <w:rsid w:val="002748A1"/>
    <w:rsid w:val="002D108E"/>
    <w:rsid w:val="002E271B"/>
    <w:rsid w:val="002F6E47"/>
    <w:rsid w:val="00333E04"/>
    <w:rsid w:val="00336321"/>
    <w:rsid w:val="00382155"/>
    <w:rsid w:val="0038237D"/>
    <w:rsid w:val="00393227"/>
    <w:rsid w:val="003A4628"/>
    <w:rsid w:val="003B5761"/>
    <w:rsid w:val="003B7ECF"/>
    <w:rsid w:val="003C28C8"/>
    <w:rsid w:val="003C503D"/>
    <w:rsid w:val="003E6AFD"/>
    <w:rsid w:val="00401E3E"/>
    <w:rsid w:val="004126E0"/>
    <w:rsid w:val="00416B26"/>
    <w:rsid w:val="00480796"/>
    <w:rsid w:val="004B1E9F"/>
    <w:rsid w:val="004B4F03"/>
    <w:rsid w:val="004C0BC9"/>
    <w:rsid w:val="00576F37"/>
    <w:rsid w:val="005819A1"/>
    <w:rsid w:val="00583551"/>
    <w:rsid w:val="005E39CF"/>
    <w:rsid w:val="00603A28"/>
    <w:rsid w:val="00614208"/>
    <w:rsid w:val="00614AEB"/>
    <w:rsid w:val="00633FB9"/>
    <w:rsid w:val="006D430A"/>
    <w:rsid w:val="006E1DF5"/>
    <w:rsid w:val="006E2CC2"/>
    <w:rsid w:val="006E75BD"/>
    <w:rsid w:val="006F1E72"/>
    <w:rsid w:val="006F63C5"/>
    <w:rsid w:val="00713C08"/>
    <w:rsid w:val="00715B6F"/>
    <w:rsid w:val="00734CC6"/>
    <w:rsid w:val="00757FDD"/>
    <w:rsid w:val="00760338"/>
    <w:rsid w:val="0079159D"/>
    <w:rsid w:val="007D511F"/>
    <w:rsid w:val="00814D3F"/>
    <w:rsid w:val="008241EB"/>
    <w:rsid w:val="00852000"/>
    <w:rsid w:val="00875DA7"/>
    <w:rsid w:val="0089061D"/>
    <w:rsid w:val="008D7768"/>
    <w:rsid w:val="009006C3"/>
    <w:rsid w:val="009604D2"/>
    <w:rsid w:val="00963E08"/>
    <w:rsid w:val="009A336F"/>
    <w:rsid w:val="009F5419"/>
    <w:rsid w:val="00A03BB9"/>
    <w:rsid w:val="00A37CE8"/>
    <w:rsid w:val="00A822A6"/>
    <w:rsid w:val="00A85449"/>
    <w:rsid w:val="00A96893"/>
    <w:rsid w:val="00A973EE"/>
    <w:rsid w:val="00AE13DD"/>
    <w:rsid w:val="00AE1A4C"/>
    <w:rsid w:val="00B151A5"/>
    <w:rsid w:val="00B33F1F"/>
    <w:rsid w:val="00B73833"/>
    <w:rsid w:val="00B84D55"/>
    <w:rsid w:val="00BB723E"/>
    <w:rsid w:val="00BE1C28"/>
    <w:rsid w:val="00BF3DB6"/>
    <w:rsid w:val="00C05CA7"/>
    <w:rsid w:val="00C07430"/>
    <w:rsid w:val="00C30C5D"/>
    <w:rsid w:val="00C85AB2"/>
    <w:rsid w:val="00D31825"/>
    <w:rsid w:val="00D328E3"/>
    <w:rsid w:val="00D3467A"/>
    <w:rsid w:val="00D653C1"/>
    <w:rsid w:val="00D77BEA"/>
    <w:rsid w:val="00D82ADA"/>
    <w:rsid w:val="00D877F7"/>
    <w:rsid w:val="00DB0275"/>
    <w:rsid w:val="00DB6E7A"/>
    <w:rsid w:val="00DD03E3"/>
    <w:rsid w:val="00DF0384"/>
    <w:rsid w:val="00DF5DAD"/>
    <w:rsid w:val="00E34C80"/>
    <w:rsid w:val="00E423C9"/>
    <w:rsid w:val="00E72A6B"/>
    <w:rsid w:val="00E738BE"/>
    <w:rsid w:val="00E90DA4"/>
    <w:rsid w:val="00EC0A28"/>
    <w:rsid w:val="00ED23B3"/>
    <w:rsid w:val="00EF6564"/>
    <w:rsid w:val="00F238E2"/>
    <w:rsid w:val="00F25CCE"/>
    <w:rsid w:val="00F31EFD"/>
    <w:rsid w:val="00F42056"/>
    <w:rsid w:val="00F50CD4"/>
    <w:rsid w:val="00F5301C"/>
    <w:rsid w:val="00F7188F"/>
    <w:rsid w:val="00F747D4"/>
    <w:rsid w:val="00F802BC"/>
    <w:rsid w:val="00F9095C"/>
    <w:rsid w:val="00FA31CD"/>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09E2D"/>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B9EE-F52D-0A46-B080-838A86CB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Ronald Parsons, MD</cp:lastModifiedBy>
  <cp:revision>2</cp:revision>
  <cp:lastPrinted>2017-08-22T18:23:00Z</cp:lastPrinted>
  <dcterms:created xsi:type="dcterms:W3CDTF">2021-08-19T12:41:00Z</dcterms:created>
  <dcterms:modified xsi:type="dcterms:W3CDTF">2021-08-19T12:41:00Z</dcterms:modified>
</cp:coreProperties>
</file>