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6D0E4A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197D4341" w:rsidR="00576F37" w:rsidRPr="006D0E4A" w:rsidRDefault="00576F37" w:rsidP="007D270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0E4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F3959" w:rsidRPr="006D0E4A">
              <w:rPr>
                <w:rFonts w:ascii="Arial" w:hAnsi="Arial" w:cs="Arial"/>
                <w:b/>
                <w:sz w:val="22"/>
                <w:szCs w:val="22"/>
              </w:rPr>
              <w:t>ROTOCOL</w:t>
            </w:r>
            <w:r w:rsidRPr="006D0E4A">
              <w:rPr>
                <w:rFonts w:ascii="Arial" w:hAnsi="Arial" w:cs="Arial"/>
                <w:b/>
                <w:sz w:val="22"/>
                <w:szCs w:val="22"/>
              </w:rPr>
              <w:t xml:space="preserve"> TITLE:</w:t>
            </w:r>
            <w:r w:rsidRPr="006D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E72" w:rsidRPr="006D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70D" w:rsidRPr="006D0E4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D270D" w:rsidRPr="006D0E4A">
              <w:rPr>
                <w:rFonts w:ascii="Arial" w:hAnsi="Arial" w:cs="Arial"/>
                <w:b/>
                <w:bCs/>
                <w:sz w:val="22"/>
                <w:szCs w:val="22"/>
              </w:rPr>
              <w:t>Kidney and Pancreas Post Transplant</w:t>
            </w:r>
            <w:r w:rsidR="00707F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76A5B" w:rsidRPr="006D0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E48FB" w:rsidRPr="006D0E4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4452BE" w:rsidRPr="006D0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anagement </w:t>
            </w:r>
            <w:r w:rsidR="00ED5894" w:rsidRPr="006D0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="00742906" w:rsidRPr="006D0E4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D5894" w:rsidRPr="006D0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atients with Failed </w:t>
            </w:r>
            <w:r w:rsidR="00707FEE">
              <w:rPr>
                <w:rFonts w:ascii="Arial" w:hAnsi="Arial" w:cs="Arial"/>
                <w:b/>
                <w:bCs/>
                <w:sz w:val="22"/>
                <w:szCs w:val="22"/>
              </w:rPr>
              <w:t>Kidney Allograft</w:t>
            </w:r>
          </w:p>
        </w:tc>
      </w:tr>
      <w:tr w:rsidR="00576F37" w:rsidRPr="006D0E4A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6D0E4A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D0E4A">
              <w:rPr>
                <w:rFonts w:ascii="Arial" w:hAnsi="Arial" w:cs="Arial"/>
                <w:b/>
                <w:sz w:val="22"/>
                <w:szCs w:val="22"/>
              </w:rPr>
              <w:t>APPLICABLE FACILITIES:</w:t>
            </w:r>
          </w:p>
          <w:p w14:paraId="0818D075" w14:textId="3387CB62" w:rsidR="00FF712F" w:rsidRPr="006D0E4A" w:rsidRDefault="00E953BC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5E70" w:rsidRPr="006D0E4A">
              <w:rPr>
                <w:rFonts w:ascii="Arial" w:hAnsi="Arial" w:cs="Arial"/>
                <w:sz w:val="22"/>
                <w:szCs w:val="22"/>
              </w:rPr>
              <w:t>EHC</w:t>
            </w:r>
            <w:r w:rsidR="00FF712F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6D0E4A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6D0E4A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6D0E4A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6D0E4A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6D0E4A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6D0E4A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1864B9" w:rsidRPr="006D0E4A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1AA2E71B" w:rsidR="00061A36" w:rsidRPr="006D0E4A" w:rsidRDefault="00E953BC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0B2B8C" w:rsidRPr="006D0E4A">
              <w:rPr>
                <w:rFonts w:ascii="Arial" w:hAnsi="Arial" w:cs="Arial"/>
                <w:sz w:val="22"/>
                <w:szCs w:val="22"/>
              </w:rPr>
              <w:t>E</w:t>
            </w:r>
            <w:r w:rsidR="001864B9" w:rsidRPr="006D0E4A">
              <w:rPr>
                <w:rFonts w:ascii="Arial" w:hAnsi="Arial" w:cs="Arial"/>
                <w:sz w:val="22"/>
                <w:szCs w:val="22"/>
              </w:rPr>
              <w:t>UH</w:t>
            </w:r>
            <w:r w:rsidR="00FF712F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6D0E4A">
              <w:rPr>
                <w:rFonts w:ascii="Arial" w:hAnsi="Arial" w:cs="Arial"/>
                <w:sz w:val="22"/>
                <w:szCs w:val="22"/>
              </w:rPr>
              <w:t>EUH</w:t>
            </w:r>
            <w:r w:rsidR="001864B9" w:rsidRPr="006D0E4A">
              <w:rPr>
                <w:rFonts w:ascii="Arial" w:hAnsi="Arial" w:cs="Arial"/>
                <w:sz w:val="22"/>
                <w:szCs w:val="22"/>
              </w:rPr>
              <w:t>M</w:t>
            </w:r>
            <w:r w:rsidR="00336321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6321" w:rsidRPr="006D0E4A">
              <w:rPr>
                <w:rFonts w:ascii="Arial" w:hAnsi="Arial" w:cs="Arial"/>
                <w:sz w:val="22"/>
                <w:szCs w:val="22"/>
              </w:rPr>
              <w:t>EUHS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6D0E4A">
              <w:rPr>
                <w:rFonts w:ascii="Arial" w:hAnsi="Arial" w:cs="Arial"/>
                <w:sz w:val="22"/>
                <w:szCs w:val="22"/>
              </w:rPr>
              <w:t>EU</w:t>
            </w:r>
            <w:r w:rsidR="001864B9" w:rsidRPr="006D0E4A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6D0E4A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6D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6D0E4A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6D0E4A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6D0E4A">
              <w:rPr>
                <w:rFonts w:ascii="Arial" w:hAnsi="Arial" w:cs="Arial"/>
                <w:sz w:val="22"/>
                <w:szCs w:val="22"/>
              </w:rPr>
              <w:t>JV</w:t>
            </w:r>
            <w:r w:rsidR="001864B9" w:rsidRPr="006D0E4A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6D0E4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6D0E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6D0E4A">
              <w:rPr>
                <w:rFonts w:ascii="Arial" w:hAnsi="Arial" w:cs="Arial"/>
                <w:sz w:val="22"/>
                <w:szCs w:val="22"/>
              </w:rPr>
              <w:t>TEC</w:t>
            </w:r>
            <w:r w:rsidR="001864B9" w:rsidRPr="006D0E4A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6D0E4A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7777777" w:rsidR="00A96893" w:rsidRPr="006D0E4A" w:rsidRDefault="00A96893" w:rsidP="0089061D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6D0E4A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  <w:r w:rsidRPr="006D0E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7B924F08" w:rsidR="00A96893" w:rsidRPr="006D0E4A" w:rsidRDefault="00A96893" w:rsidP="0089061D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6D0E4A">
              <w:rPr>
                <w:rFonts w:ascii="Arial" w:hAnsi="Arial" w:cs="Arial"/>
                <w:b/>
                <w:sz w:val="22"/>
                <w:szCs w:val="22"/>
              </w:rPr>
              <w:t>ORIGINATION DATE:</w:t>
            </w:r>
            <w:r w:rsidRPr="006D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70D" w:rsidRPr="006D0E4A">
              <w:rPr>
                <w:rFonts w:ascii="Arial" w:hAnsi="Arial" w:cs="Arial"/>
                <w:sz w:val="22"/>
                <w:szCs w:val="22"/>
              </w:rPr>
              <w:t>06/10/2020</w:t>
            </w:r>
          </w:p>
        </w:tc>
      </w:tr>
    </w:tbl>
    <w:p w14:paraId="3DA472F2" w14:textId="3A73D47F" w:rsidR="001F3959" w:rsidRPr="006D0E4A" w:rsidRDefault="001F3959" w:rsidP="001F3959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>CATEGORY</w:t>
      </w:r>
      <w:r w:rsidR="0019168D" w:rsidRPr="00707FEE">
        <w:rPr>
          <w:rFonts w:ascii="Arial" w:hAnsi="Arial" w:cs="Arial"/>
          <w:b/>
          <w:sz w:val="22"/>
          <w:szCs w:val="22"/>
        </w:rPr>
        <w:t>:</w:t>
      </w:r>
      <w:r w:rsidR="0019168D" w:rsidRPr="006D0E4A">
        <w:rPr>
          <w:rFonts w:ascii="Arial" w:hAnsi="Arial" w:cs="Arial"/>
          <w:sz w:val="22"/>
          <w:szCs w:val="22"/>
        </w:rPr>
        <w:t xml:space="preserve"> </w:t>
      </w:r>
      <w:r w:rsidRPr="006D0E4A">
        <w:rPr>
          <w:rFonts w:ascii="Arial" w:hAnsi="Arial" w:cs="Arial"/>
          <w:sz w:val="22"/>
          <w:szCs w:val="22"/>
        </w:rPr>
        <w:t xml:space="preserve"> Diagnostic/Therapeutic/Preventive, Medication Guidelines</w:t>
      </w:r>
    </w:p>
    <w:p w14:paraId="7DF10D58" w14:textId="77777777" w:rsidR="006F1E72" w:rsidRPr="006D0E4A" w:rsidRDefault="006F1E72" w:rsidP="00D82ADA">
      <w:pPr>
        <w:rPr>
          <w:rFonts w:ascii="Arial" w:hAnsi="Arial" w:cs="Arial"/>
          <w:sz w:val="22"/>
          <w:szCs w:val="22"/>
        </w:rPr>
      </w:pPr>
    </w:p>
    <w:p w14:paraId="6A860210" w14:textId="5284B5F7" w:rsidR="001F3959" w:rsidRPr="006D0E4A" w:rsidRDefault="001F3959" w:rsidP="00D82ADA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>LEVEL</w:t>
      </w:r>
      <w:r w:rsidR="0019168D" w:rsidRPr="00707FEE">
        <w:rPr>
          <w:rFonts w:ascii="Arial" w:hAnsi="Arial" w:cs="Arial"/>
          <w:b/>
          <w:sz w:val="22"/>
          <w:szCs w:val="22"/>
        </w:rPr>
        <w:t>:</w:t>
      </w:r>
      <w:r w:rsidRPr="006D0E4A">
        <w:rPr>
          <w:rFonts w:ascii="Arial" w:hAnsi="Arial" w:cs="Arial"/>
          <w:sz w:val="22"/>
          <w:szCs w:val="22"/>
        </w:rPr>
        <w:t xml:space="preserve">  Independent</w:t>
      </w:r>
      <w:r w:rsidR="007D270D" w:rsidRPr="006D0E4A">
        <w:rPr>
          <w:rFonts w:ascii="Arial" w:hAnsi="Arial" w:cs="Arial"/>
          <w:sz w:val="22"/>
          <w:szCs w:val="22"/>
        </w:rPr>
        <w:t xml:space="preserve"> </w:t>
      </w:r>
    </w:p>
    <w:p w14:paraId="0E3A2750" w14:textId="77777777" w:rsidR="00C05CA7" w:rsidRPr="006D0E4A" w:rsidRDefault="00C05CA7" w:rsidP="00D82ADA">
      <w:pPr>
        <w:rPr>
          <w:rFonts w:ascii="Arial" w:hAnsi="Arial" w:cs="Arial"/>
          <w:sz w:val="22"/>
          <w:szCs w:val="22"/>
        </w:rPr>
      </w:pPr>
    </w:p>
    <w:p w14:paraId="69AD214B" w14:textId="6F6A13FC" w:rsidR="007D270D" w:rsidRPr="006D0E4A" w:rsidRDefault="007D270D" w:rsidP="007D270D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>SCOPE</w:t>
      </w:r>
      <w:r w:rsidRPr="00707FEE">
        <w:rPr>
          <w:rFonts w:ascii="Arial" w:hAnsi="Arial" w:cs="Arial"/>
          <w:b/>
          <w:sz w:val="22"/>
          <w:szCs w:val="22"/>
        </w:rPr>
        <w:t>:</w:t>
      </w:r>
      <w:r w:rsidRPr="00707FEE">
        <w:rPr>
          <w:rFonts w:ascii="Arial" w:hAnsi="Arial" w:cs="Arial"/>
          <w:sz w:val="22"/>
          <w:szCs w:val="22"/>
        </w:rPr>
        <w:t xml:space="preserve"> </w:t>
      </w:r>
      <w:r w:rsidR="00707FEE">
        <w:rPr>
          <w:rFonts w:ascii="Arial" w:hAnsi="Arial" w:cs="Arial"/>
          <w:sz w:val="22"/>
          <w:szCs w:val="22"/>
        </w:rPr>
        <w:t xml:space="preserve"> </w:t>
      </w:r>
      <w:r w:rsidRPr="006D0E4A">
        <w:rPr>
          <w:rFonts w:ascii="Arial" w:hAnsi="Arial" w:cs="Arial"/>
          <w:sz w:val="22"/>
          <w:szCs w:val="22"/>
        </w:rPr>
        <w:t>All transplant program physicians, practitioners and clinical staff members are responsible for compliance with this clinical protocol.</w:t>
      </w:r>
    </w:p>
    <w:p w14:paraId="31E332BB" w14:textId="77777777" w:rsidR="007D270D" w:rsidRPr="006D0E4A" w:rsidRDefault="007D270D" w:rsidP="007D270D">
      <w:pPr>
        <w:rPr>
          <w:rFonts w:ascii="Arial" w:hAnsi="Arial" w:cs="Arial"/>
          <w:sz w:val="22"/>
          <w:szCs w:val="22"/>
        </w:rPr>
      </w:pPr>
    </w:p>
    <w:p w14:paraId="4705429E" w14:textId="1669967B" w:rsidR="004E303E" w:rsidRPr="006D0E4A" w:rsidRDefault="007D270D" w:rsidP="004E303E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>PURPOSE</w:t>
      </w:r>
      <w:r w:rsidR="00BC1E83" w:rsidRPr="006D0E4A">
        <w:rPr>
          <w:rFonts w:ascii="Arial" w:hAnsi="Arial" w:cs="Arial"/>
          <w:b/>
          <w:sz w:val="22"/>
          <w:szCs w:val="22"/>
        </w:rPr>
        <w:t xml:space="preserve">: </w:t>
      </w:r>
      <w:r w:rsidR="006065BF">
        <w:rPr>
          <w:rFonts w:ascii="Arial" w:hAnsi="Arial" w:cs="Arial"/>
          <w:b/>
          <w:sz w:val="22"/>
          <w:szCs w:val="22"/>
        </w:rPr>
        <w:t xml:space="preserve"> </w:t>
      </w:r>
      <w:r w:rsidR="004E303E" w:rsidRPr="006D0E4A">
        <w:rPr>
          <w:rFonts w:ascii="Arial" w:hAnsi="Arial" w:cs="Arial"/>
          <w:sz w:val="22"/>
          <w:szCs w:val="22"/>
        </w:rPr>
        <w:t xml:space="preserve">The </w:t>
      </w:r>
      <w:r w:rsidR="003B406B" w:rsidRPr="006D0E4A">
        <w:rPr>
          <w:rFonts w:ascii="Arial" w:hAnsi="Arial" w:cs="Arial"/>
          <w:sz w:val="22"/>
          <w:szCs w:val="22"/>
        </w:rPr>
        <w:t>purpose</w:t>
      </w:r>
      <w:r w:rsidR="004E303E" w:rsidRPr="006D0E4A">
        <w:rPr>
          <w:rFonts w:ascii="Arial" w:hAnsi="Arial" w:cs="Arial"/>
          <w:sz w:val="22"/>
          <w:szCs w:val="22"/>
        </w:rPr>
        <w:t xml:space="preserve"> of managing immunosuppression in patients with a failed kidney </w:t>
      </w:r>
      <w:r w:rsidR="00707FEE">
        <w:rPr>
          <w:rFonts w:ascii="Arial" w:hAnsi="Arial" w:cs="Arial"/>
          <w:sz w:val="22"/>
          <w:szCs w:val="22"/>
        </w:rPr>
        <w:t>allograft (</w:t>
      </w:r>
      <w:r w:rsidR="004E303E" w:rsidRPr="006D0E4A">
        <w:rPr>
          <w:rFonts w:ascii="Arial" w:hAnsi="Arial" w:cs="Arial"/>
          <w:sz w:val="22"/>
          <w:szCs w:val="22"/>
        </w:rPr>
        <w:t>transplant</w:t>
      </w:r>
      <w:r w:rsidR="00707FEE">
        <w:rPr>
          <w:rFonts w:ascii="Arial" w:hAnsi="Arial" w:cs="Arial"/>
          <w:sz w:val="22"/>
          <w:szCs w:val="22"/>
        </w:rPr>
        <w:t>)</w:t>
      </w:r>
      <w:r w:rsidR="004E303E" w:rsidRPr="006D0E4A">
        <w:rPr>
          <w:rFonts w:ascii="Arial" w:hAnsi="Arial" w:cs="Arial"/>
          <w:sz w:val="22"/>
          <w:szCs w:val="22"/>
        </w:rPr>
        <w:t xml:space="preserve"> is to reduce the burden of immunosuppression while avoiding the complications of withdrawing immunosuppression, which include rejection, secondary adrenal insufficiency, loss of residual renal function, and sensitization. </w:t>
      </w:r>
      <w:r w:rsidR="00332EBE" w:rsidRPr="006D0E4A">
        <w:rPr>
          <w:rFonts w:ascii="Arial" w:hAnsi="Arial" w:cs="Arial"/>
          <w:sz w:val="22"/>
          <w:szCs w:val="22"/>
        </w:rPr>
        <w:t>This protocol</w:t>
      </w:r>
      <w:r w:rsidR="004E303E" w:rsidRPr="006D0E4A">
        <w:rPr>
          <w:rFonts w:ascii="Arial" w:hAnsi="Arial" w:cs="Arial"/>
          <w:sz w:val="22"/>
          <w:szCs w:val="22"/>
        </w:rPr>
        <w:t xml:space="preserve"> will also provide a clear pathway for transition of patient care to primary referring nephrologist</w:t>
      </w:r>
      <w:r w:rsidR="00707FEE">
        <w:rPr>
          <w:rFonts w:ascii="Arial" w:hAnsi="Arial" w:cs="Arial"/>
          <w:sz w:val="22"/>
          <w:szCs w:val="22"/>
        </w:rPr>
        <w:t xml:space="preserve"> for continued care.</w:t>
      </w:r>
    </w:p>
    <w:p w14:paraId="3FDCBD6E" w14:textId="08129EE1" w:rsidR="007D270D" w:rsidRPr="006D0E4A" w:rsidRDefault="007D270D" w:rsidP="007D270D">
      <w:pPr>
        <w:rPr>
          <w:rFonts w:ascii="Arial" w:hAnsi="Arial" w:cs="Arial"/>
          <w:b/>
          <w:sz w:val="22"/>
          <w:szCs w:val="22"/>
          <w:u w:val="single"/>
        </w:rPr>
      </w:pPr>
    </w:p>
    <w:p w14:paraId="7CEBFEA7" w14:textId="4FE28D0D" w:rsidR="004E303E" w:rsidRPr="006D0E4A" w:rsidRDefault="004E303E" w:rsidP="004E303E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bCs/>
          <w:sz w:val="22"/>
          <w:szCs w:val="22"/>
          <w:u w:val="single"/>
        </w:rPr>
        <w:t>TARGET PATIENT POPULATIONS</w:t>
      </w:r>
      <w:r w:rsidRPr="004825AD">
        <w:rPr>
          <w:rFonts w:ascii="Arial" w:hAnsi="Arial" w:cs="Arial"/>
          <w:b/>
          <w:bCs/>
          <w:sz w:val="22"/>
          <w:szCs w:val="22"/>
        </w:rPr>
        <w:t>:</w:t>
      </w:r>
      <w:r w:rsidRPr="006D0E4A">
        <w:rPr>
          <w:rFonts w:ascii="Arial" w:hAnsi="Arial" w:cs="Arial"/>
          <w:b/>
          <w:bCs/>
          <w:sz w:val="22"/>
          <w:szCs w:val="22"/>
        </w:rPr>
        <w:t xml:space="preserve"> </w:t>
      </w:r>
      <w:r w:rsidR="006065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0E4A">
        <w:rPr>
          <w:rFonts w:ascii="Arial" w:hAnsi="Arial" w:cs="Arial"/>
          <w:sz w:val="22"/>
          <w:szCs w:val="22"/>
        </w:rPr>
        <w:t xml:space="preserve">Patients with </w:t>
      </w:r>
      <w:r w:rsidR="00A12191" w:rsidRPr="006D0E4A">
        <w:rPr>
          <w:rFonts w:ascii="Arial" w:hAnsi="Arial" w:cs="Arial"/>
          <w:sz w:val="22"/>
          <w:szCs w:val="22"/>
        </w:rPr>
        <w:t>F</w:t>
      </w:r>
      <w:r w:rsidRPr="006D0E4A">
        <w:rPr>
          <w:rFonts w:ascii="Arial" w:hAnsi="Arial" w:cs="Arial"/>
          <w:sz w:val="22"/>
          <w:szCs w:val="22"/>
        </w:rPr>
        <w:t xml:space="preserve">ailed Kidney </w:t>
      </w:r>
      <w:r w:rsidR="004825AD">
        <w:rPr>
          <w:rFonts w:ascii="Arial" w:hAnsi="Arial" w:cs="Arial"/>
          <w:sz w:val="22"/>
          <w:szCs w:val="22"/>
        </w:rPr>
        <w:t>Allograft (</w:t>
      </w:r>
      <w:r w:rsidRPr="006D0E4A">
        <w:rPr>
          <w:rFonts w:ascii="Arial" w:hAnsi="Arial" w:cs="Arial"/>
          <w:sz w:val="22"/>
          <w:szCs w:val="22"/>
        </w:rPr>
        <w:t>transplant</w:t>
      </w:r>
      <w:r w:rsidR="004825AD">
        <w:rPr>
          <w:rFonts w:ascii="Arial" w:hAnsi="Arial" w:cs="Arial"/>
          <w:sz w:val="22"/>
          <w:szCs w:val="22"/>
        </w:rPr>
        <w:t>)</w:t>
      </w:r>
    </w:p>
    <w:p w14:paraId="4D65D7A8" w14:textId="77777777" w:rsidR="004E303E" w:rsidRPr="006D0E4A" w:rsidRDefault="004E303E" w:rsidP="007D270D">
      <w:pPr>
        <w:rPr>
          <w:rFonts w:ascii="Arial" w:hAnsi="Arial" w:cs="Arial"/>
          <w:b/>
          <w:sz w:val="22"/>
          <w:szCs w:val="22"/>
          <w:u w:val="single"/>
        </w:rPr>
      </w:pPr>
    </w:p>
    <w:p w14:paraId="19A1B1E6" w14:textId="08E0652D" w:rsidR="008649EC" w:rsidRDefault="007D270D" w:rsidP="007D270D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>PROTOCOL</w:t>
      </w:r>
      <w:r w:rsidRPr="006D0E4A">
        <w:rPr>
          <w:rFonts w:ascii="Arial" w:hAnsi="Arial" w:cs="Arial"/>
          <w:b/>
          <w:sz w:val="22"/>
          <w:szCs w:val="22"/>
        </w:rPr>
        <w:t>:</w:t>
      </w:r>
      <w:r w:rsidRPr="006D0E4A">
        <w:rPr>
          <w:rFonts w:ascii="Arial" w:hAnsi="Arial" w:cs="Arial"/>
          <w:sz w:val="22"/>
          <w:szCs w:val="22"/>
        </w:rPr>
        <w:t xml:space="preserve"> </w:t>
      </w:r>
    </w:p>
    <w:p w14:paraId="2396363B" w14:textId="54AB48D4" w:rsidR="00396D77" w:rsidRDefault="00396D77" w:rsidP="007D270D">
      <w:pPr>
        <w:rPr>
          <w:rFonts w:ascii="Arial" w:hAnsi="Arial" w:cs="Arial"/>
          <w:sz w:val="22"/>
          <w:szCs w:val="22"/>
        </w:rPr>
      </w:pPr>
    </w:p>
    <w:p w14:paraId="0FA6FFE0" w14:textId="3EBC7147" w:rsidR="00396D77" w:rsidRPr="00396D77" w:rsidRDefault="00396D77" w:rsidP="00396D7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Immunosuppression Management</w:t>
      </w:r>
      <w:r w:rsidR="00661372">
        <w:rPr>
          <w:rFonts w:ascii="Arial" w:hAnsi="Arial" w:cs="Arial"/>
          <w:b/>
          <w:bCs/>
          <w:sz w:val="22"/>
          <w:szCs w:val="22"/>
        </w:rPr>
        <w:t xml:space="preserve"> Guidelines</w:t>
      </w:r>
      <w:r w:rsidR="00DF2719">
        <w:rPr>
          <w:rFonts w:ascii="Arial" w:hAnsi="Arial" w:cs="Arial"/>
          <w:b/>
          <w:bCs/>
          <w:sz w:val="22"/>
          <w:szCs w:val="22"/>
        </w:rPr>
        <w:t xml:space="preserve"> </w:t>
      </w:r>
      <w:r w:rsidR="00B4526C">
        <w:rPr>
          <w:rFonts w:ascii="Arial" w:hAnsi="Arial" w:cs="Arial"/>
          <w:b/>
          <w:bCs/>
          <w:sz w:val="22"/>
          <w:szCs w:val="22"/>
        </w:rPr>
        <w:t>for Patients &gt;1y from Transplant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396D77" w14:paraId="548119E2" w14:textId="77777777" w:rsidTr="00687B94">
        <w:trPr>
          <w:trHeight w:val="647"/>
        </w:trPr>
        <w:tc>
          <w:tcPr>
            <w:tcW w:w="5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DC7C26" w14:textId="5E740FED" w:rsidR="00396D77" w:rsidRDefault="00396D77" w:rsidP="00495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 is </w:t>
            </w:r>
            <w:r w:rsidRPr="0030009A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a re-transplant Candidate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938C7B" w14:textId="41C794FC" w:rsidR="00396D77" w:rsidRDefault="00396D77" w:rsidP="00495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 </w:t>
            </w:r>
            <w:r w:rsidRPr="0030009A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B7DAC">
              <w:rPr>
                <w:rFonts w:ascii="Arial" w:hAnsi="Arial" w:cs="Arial"/>
                <w:sz w:val="22"/>
                <w:szCs w:val="22"/>
              </w:rPr>
              <w:t xml:space="preserve"> potential</w:t>
            </w:r>
            <w:r>
              <w:rPr>
                <w:rFonts w:ascii="Arial" w:hAnsi="Arial" w:cs="Arial"/>
                <w:sz w:val="22"/>
                <w:szCs w:val="22"/>
              </w:rPr>
              <w:t xml:space="preserve"> re-transplant Candidate (living donor, re-listed, etc</w:t>
            </w:r>
            <w:r w:rsidR="00D72B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3EA3" w14:paraId="541792C3" w14:textId="77777777" w:rsidTr="007065FD">
        <w:trPr>
          <w:trHeight w:val="2688"/>
        </w:trPr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5EAF062D" w14:textId="72177AE8" w:rsidR="00280080" w:rsidRPr="00280080" w:rsidRDefault="00213EA3" w:rsidP="00280080">
            <w:pPr>
              <w:rPr>
                <w:rFonts w:ascii="Arial" w:hAnsi="Arial" w:cs="Arial"/>
                <w:sz w:val="22"/>
                <w:szCs w:val="22"/>
              </w:rPr>
            </w:pPr>
            <w:r w:rsidRPr="00710AFA">
              <w:rPr>
                <w:rFonts w:ascii="Arial" w:hAnsi="Arial" w:cs="Arial"/>
                <w:sz w:val="22"/>
                <w:szCs w:val="22"/>
              </w:rPr>
              <w:t>If CNI based regimen: (step-wise approach)</w:t>
            </w:r>
            <w:r w:rsidR="00280080">
              <w:rPr>
                <w:rFonts w:ascii="Arial" w:hAnsi="Arial" w:cs="Arial"/>
                <w:i/>
                <w:sz w:val="22"/>
                <w:szCs w:val="22"/>
              </w:rPr>
              <w:t xml:space="preserve"> **Consider low level IS if patient has residual urine output</w:t>
            </w:r>
            <w:r w:rsidR="00EB7DAC">
              <w:rPr>
                <w:rFonts w:ascii="Arial" w:hAnsi="Arial" w:cs="Arial"/>
                <w:i/>
                <w:sz w:val="22"/>
                <w:szCs w:val="22"/>
              </w:rPr>
              <w:t xml:space="preserve"> or recent rejection</w:t>
            </w:r>
          </w:p>
          <w:p w14:paraId="44FAE8D7" w14:textId="271A003B" w:rsidR="00213EA3" w:rsidRDefault="00EB7DAC" w:rsidP="00D23BC1">
            <w:pPr>
              <w:pStyle w:val="ListParagraph"/>
              <w:numPr>
                <w:ilvl w:val="1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Discontinue antimetabolite and r</w:t>
            </w:r>
            <w:r w:rsidR="00213EA3">
              <w:rPr>
                <w:rFonts w:ascii="Arial" w:hAnsi="Arial" w:cs="Arial"/>
                <w:sz w:val="22"/>
                <w:szCs w:val="22"/>
              </w:rPr>
              <w:t>educe CNI</w:t>
            </w:r>
            <w:r w:rsidR="006820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13EA3">
              <w:rPr>
                <w:rFonts w:ascii="Arial" w:hAnsi="Arial" w:cs="Arial"/>
                <w:sz w:val="22"/>
                <w:szCs w:val="22"/>
              </w:rPr>
              <w:t>ose by 50% and taper off over 3 months</w:t>
            </w:r>
            <w:r>
              <w:rPr>
                <w:rFonts w:ascii="Arial" w:hAnsi="Arial" w:cs="Arial"/>
                <w:sz w:val="22"/>
                <w:szCs w:val="22"/>
              </w:rPr>
              <w:t>, then discontinue</w:t>
            </w:r>
          </w:p>
          <w:p w14:paraId="3260FB03" w14:textId="2C173F0F" w:rsidR="00213EA3" w:rsidRPr="00213EA3" w:rsidRDefault="00EB7DAC" w:rsidP="00D23BC1">
            <w:pPr>
              <w:pStyle w:val="ListParagraph"/>
              <w:numPr>
                <w:ilvl w:val="1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CNI discontinued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 xml:space="preserve">, taper prednisone to 2.5mg daily for </w:t>
            </w:r>
            <w:r w:rsidR="006820DD">
              <w:rPr>
                <w:rFonts w:ascii="Arial" w:hAnsi="Arial" w:cs="Arial"/>
                <w:sz w:val="22"/>
                <w:szCs w:val="22"/>
              </w:rPr>
              <w:t>1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 xml:space="preserve"> month; then taper further to 2.5mg every other day for </w:t>
            </w:r>
            <w:r w:rsidR="006820DD">
              <w:rPr>
                <w:rFonts w:ascii="Arial" w:hAnsi="Arial" w:cs="Arial"/>
                <w:sz w:val="22"/>
                <w:szCs w:val="22"/>
              </w:rPr>
              <w:t>2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 xml:space="preserve"> month</w:t>
            </w:r>
            <w:r w:rsidR="00CB7FC2">
              <w:rPr>
                <w:rFonts w:ascii="Arial" w:hAnsi="Arial" w:cs="Arial"/>
                <w:sz w:val="22"/>
                <w:szCs w:val="22"/>
              </w:rPr>
              <w:t>s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>; then discontinue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14:paraId="4958D629" w14:textId="00CFCFFF" w:rsidR="00BB7107" w:rsidRDefault="00BB7107" w:rsidP="00D23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re-transplant time frame projected &lt;1y:</w:t>
            </w:r>
          </w:p>
          <w:p w14:paraId="4B65AB4A" w14:textId="77777777" w:rsidR="00BB7107" w:rsidRDefault="00BB7107" w:rsidP="00D23B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CB625" w14:textId="360A6F33" w:rsidR="00B27450" w:rsidRPr="00710AFA" w:rsidRDefault="00B27450" w:rsidP="00D23BC1">
            <w:pPr>
              <w:rPr>
                <w:rFonts w:ascii="Arial" w:hAnsi="Arial" w:cs="Arial"/>
                <w:sz w:val="22"/>
                <w:szCs w:val="22"/>
              </w:rPr>
            </w:pPr>
            <w:r w:rsidRPr="00710AFA">
              <w:rPr>
                <w:rFonts w:ascii="Arial" w:hAnsi="Arial" w:cs="Arial"/>
                <w:sz w:val="22"/>
                <w:szCs w:val="22"/>
              </w:rPr>
              <w:t>If CNI based regimen:</w:t>
            </w:r>
          </w:p>
          <w:p w14:paraId="71A48B4C" w14:textId="77777777" w:rsidR="00B27450" w:rsidRDefault="00B27450" w:rsidP="00D23BC1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tacrolimus goal 3-5mg/dL</w:t>
            </w:r>
          </w:p>
          <w:p w14:paraId="5080C4FD" w14:textId="77777777" w:rsidR="00B27450" w:rsidRDefault="00B27450" w:rsidP="00D23BC1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MMF 250-500mg BID</w:t>
            </w:r>
          </w:p>
          <w:p w14:paraId="3457094C" w14:textId="77777777" w:rsidR="00213EA3" w:rsidRDefault="00B27450" w:rsidP="00D23BC1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prednisone 5mg daily</w:t>
            </w:r>
          </w:p>
          <w:p w14:paraId="420DA255" w14:textId="77777777" w:rsidR="00BB7107" w:rsidRDefault="00BB7107" w:rsidP="00CB7FC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FB3EAB" w14:textId="77777777" w:rsidR="00BB7107" w:rsidRPr="00710AFA" w:rsidRDefault="00BB7107" w:rsidP="00BB7107">
            <w:pPr>
              <w:rPr>
                <w:rFonts w:ascii="Arial" w:hAnsi="Arial" w:cs="Arial"/>
                <w:sz w:val="22"/>
                <w:szCs w:val="22"/>
              </w:rPr>
            </w:pPr>
            <w:r w:rsidRPr="00710AFA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spellStart"/>
            <w:r w:rsidRPr="00710AFA">
              <w:rPr>
                <w:rFonts w:ascii="Arial" w:hAnsi="Arial" w:cs="Arial"/>
                <w:sz w:val="22"/>
                <w:szCs w:val="22"/>
              </w:rPr>
              <w:t>Belatacept</w:t>
            </w:r>
            <w:proofErr w:type="spellEnd"/>
            <w:r w:rsidRPr="00710AFA">
              <w:rPr>
                <w:rFonts w:ascii="Arial" w:hAnsi="Arial" w:cs="Arial"/>
                <w:sz w:val="22"/>
                <w:szCs w:val="22"/>
              </w:rPr>
              <w:t xml:space="preserve"> based regimen:</w:t>
            </w:r>
          </w:p>
          <w:p w14:paraId="5C9FFE76" w14:textId="77777777" w:rsidR="00BB7107" w:rsidRDefault="00BB7107" w:rsidP="00BB7107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belatacept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monthly infusions</w:t>
            </w:r>
          </w:p>
          <w:p w14:paraId="00F1D4A1" w14:textId="77777777" w:rsidR="00BB7107" w:rsidRDefault="00BB7107" w:rsidP="00BB7107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MMF 250-500mg BID</w:t>
            </w:r>
          </w:p>
          <w:p w14:paraId="4D8A7782" w14:textId="0DADAC3F" w:rsidR="00CB7FC2" w:rsidRPr="007065FD" w:rsidRDefault="00BB7107" w:rsidP="007065FD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B27450"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27450">
              <w:rPr>
                <w:rFonts w:ascii="Arial" w:hAnsi="Arial" w:cs="Arial"/>
                <w:sz w:val="22"/>
                <w:szCs w:val="22"/>
              </w:rPr>
              <w:t>rednisone 5mg daily</w:t>
            </w:r>
          </w:p>
        </w:tc>
      </w:tr>
      <w:tr w:rsidR="00213EA3" w14:paraId="63EE9B3B" w14:textId="77777777" w:rsidTr="00FD79FF">
        <w:trPr>
          <w:trHeight w:val="458"/>
        </w:trPr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14:paraId="6B4E34A2" w14:textId="15F30190" w:rsidR="00213EA3" w:rsidRDefault="00213EA3" w:rsidP="00D23BC1">
            <w:pPr>
              <w:rPr>
                <w:rFonts w:ascii="Arial" w:hAnsi="Arial" w:cs="Arial"/>
                <w:sz w:val="22"/>
                <w:szCs w:val="22"/>
              </w:rPr>
            </w:pPr>
            <w:r w:rsidRPr="00710AFA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spellStart"/>
            <w:r w:rsidRPr="00710AFA">
              <w:rPr>
                <w:rFonts w:ascii="Arial" w:hAnsi="Arial" w:cs="Arial"/>
                <w:sz w:val="22"/>
                <w:szCs w:val="22"/>
              </w:rPr>
              <w:t>Belatacept</w:t>
            </w:r>
            <w:proofErr w:type="spellEnd"/>
            <w:r w:rsidRPr="00710AFA">
              <w:rPr>
                <w:rFonts w:ascii="Arial" w:hAnsi="Arial" w:cs="Arial"/>
                <w:sz w:val="22"/>
                <w:szCs w:val="22"/>
              </w:rPr>
              <w:t xml:space="preserve"> based regimen: (step-wise approach)</w:t>
            </w:r>
          </w:p>
          <w:p w14:paraId="268FB43A" w14:textId="13EF4383" w:rsidR="00280080" w:rsidRDefault="00280080" w:rsidP="00D23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**Consider low level IS if patient has residual urine output</w:t>
            </w:r>
            <w:r w:rsidR="00EB7DAC">
              <w:rPr>
                <w:rFonts w:ascii="Arial" w:hAnsi="Arial" w:cs="Arial"/>
                <w:i/>
                <w:sz w:val="22"/>
                <w:szCs w:val="22"/>
              </w:rPr>
              <w:t xml:space="preserve"> or recent rejection</w:t>
            </w:r>
          </w:p>
          <w:p w14:paraId="0DC5E93F" w14:textId="001FA112" w:rsidR="00213EA3" w:rsidRDefault="00213EA3" w:rsidP="00D23BC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Discontinue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belatacept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reduce antimetabolite by 50% and taper over 3 months</w:t>
            </w:r>
            <w:r w:rsidR="00EB7DAC">
              <w:rPr>
                <w:rFonts w:ascii="Arial" w:hAnsi="Arial" w:cs="Arial"/>
                <w:sz w:val="22"/>
                <w:szCs w:val="22"/>
              </w:rPr>
              <w:t>, then discontinue</w:t>
            </w:r>
          </w:p>
          <w:p w14:paraId="27662932" w14:textId="12DAF9BE" w:rsidR="00213EA3" w:rsidRPr="00213EA3" w:rsidRDefault="00EB7DAC" w:rsidP="00D23BC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antimetabolite discontinued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 xml:space="preserve">, taper prednisone to 2.5mg daily for </w:t>
            </w:r>
            <w:r w:rsidR="006820DD">
              <w:rPr>
                <w:rFonts w:ascii="Arial" w:hAnsi="Arial" w:cs="Arial"/>
                <w:sz w:val="22"/>
                <w:szCs w:val="22"/>
              </w:rPr>
              <w:t>1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 xml:space="preserve"> month; then taper further to 2.5mg every other day for </w:t>
            </w:r>
            <w:r w:rsidR="006820DD">
              <w:rPr>
                <w:rFonts w:ascii="Arial" w:hAnsi="Arial" w:cs="Arial"/>
                <w:sz w:val="22"/>
                <w:szCs w:val="22"/>
              </w:rPr>
              <w:t>2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 xml:space="preserve"> month</w:t>
            </w:r>
            <w:r w:rsidR="00CB7FC2">
              <w:rPr>
                <w:rFonts w:ascii="Arial" w:hAnsi="Arial" w:cs="Arial"/>
                <w:sz w:val="22"/>
                <w:szCs w:val="22"/>
              </w:rPr>
              <w:t>s</w:t>
            </w:r>
            <w:r w:rsidR="00213EA3" w:rsidRPr="00213EA3">
              <w:rPr>
                <w:rFonts w:ascii="Arial" w:hAnsi="Arial" w:cs="Arial"/>
                <w:sz w:val="22"/>
                <w:szCs w:val="22"/>
              </w:rPr>
              <w:t>; then discontinue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14:paraId="069827AB" w14:textId="40429004" w:rsidR="00BB7107" w:rsidRDefault="00BB7107" w:rsidP="00BB71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71B4A" w14:textId="1190AA58" w:rsidR="00BB7107" w:rsidRPr="007065FD" w:rsidRDefault="00BB7107" w:rsidP="007065FD">
            <w:pPr>
              <w:rPr>
                <w:rFonts w:ascii="Arial" w:hAnsi="Arial" w:cs="Arial"/>
                <w:sz w:val="22"/>
                <w:szCs w:val="22"/>
              </w:rPr>
            </w:pPr>
            <w:r w:rsidRPr="007065FD">
              <w:rPr>
                <w:rFonts w:ascii="Arial" w:hAnsi="Arial" w:cs="Arial"/>
                <w:sz w:val="22"/>
                <w:szCs w:val="22"/>
              </w:rPr>
              <w:t>If re-transplant time frame</w:t>
            </w:r>
            <w:r w:rsidR="00B4526C">
              <w:rPr>
                <w:rFonts w:ascii="Arial" w:hAnsi="Arial" w:cs="Arial"/>
                <w:sz w:val="22"/>
                <w:szCs w:val="22"/>
              </w:rPr>
              <w:t xml:space="preserve"> projected</w:t>
            </w:r>
            <w:r w:rsidRPr="007065FD">
              <w:rPr>
                <w:rFonts w:ascii="Arial" w:hAnsi="Arial" w:cs="Arial"/>
                <w:sz w:val="22"/>
                <w:szCs w:val="22"/>
              </w:rPr>
              <w:t xml:space="preserve"> &gt;1y, further taper to </w:t>
            </w:r>
            <w:r w:rsidR="00B4526C">
              <w:rPr>
                <w:rFonts w:ascii="Arial" w:hAnsi="Arial" w:cs="Arial"/>
                <w:sz w:val="22"/>
                <w:szCs w:val="22"/>
              </w:rPr>
              <w:t>one</w:t>
            </w:r>
            <w:r w:rsidRPr="007065FD">
              <w:rPr>
                <w:rFonts w:ascii="Arial" w:hAnsi="Arial" w:cs="Arial"/>
                <w:sz w:val="22"/>
                <w:szCs w:val="22"/>
              </w:rPr>
              <w:t xml:space="preserve"> versus </w:t>
            </w:r>
            <w:r>
              <w:rPr>
                <w:rFonts w:ascii="Arial" w:hAnsi="Arial" w:cs="Arial"/>
                <w:sz w:val="22"/>
                <w:szCs w:val="22"/>
              </w:rPr>
              <w:t>two-drug</w:t>
            </w:r>
            <w:r w:rsidRPr="007065FD">
              <w:rPr>
                <w:rFonts w:ascii="Arial" w:hAnsi="Arial" w:cs="Arial"/>
                <w:sz w:val="22"/>
                <w:szCs w:val="22"/>
              </w:rPr>
              <w:t xml:space="preserve"> regimen</w:t>
            </w:r>
            <w:r>
              <w:rPr>
                <w:rFonts w:ascii="Arial" w:hAnsi="Arial" w:cs="Arial"/>
                <w:sz w:val="22"/>
                <w:szCs w:val="22"/>
              </w:rPr>
              <w:t xml:space="preserve"> based on transplant provider </w:t>
            </w:r>
            <w:r w:rsidR="005071C2">
              <w:rPr>
                <w:rFonts w:ascii="Arial" w:hAnsi="Arial" w:cs="Arial"/>
                <w:sz w:val="22"/>
                <w:szCs w:val="22"/>
              </w:rPr>
              <w:t>clinical judgement</w:t>
            </w:r>
          </w:p>
        </w:tc>
      </w:tr>
    </w:tbl>
    <w:p w14:paraId="762F115A" w14:textId="5E9DB82C" w:rsidR="003B406B" w:rsidRPr="006D0E4A" w:rsidRDefault="003B406B" w:rsidP="0043740C">
      <w:pPr>
        <w:rPr>
          <w:rFonts w:ascii="Arial" w:hAnsi="Arial" w:cs="Arial"/>
          <w:bCs/>
          <w:sz w:val="22"/>
          <w:szCs w:val="22"/>
        </w:rPr>
      </w:pPr>
    </w:p>
    <w:p w14:paraId="5CB8A22D" w14:textId="057FCDC4" w:rsidR="00A8020D" w:rsidRPr="00A8020D" w:rsidRDefault="00A8020D" w:rsidP="00C440BB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Management of Early Graft Loss </w:t>
      </w:r>
      <w:r w:rsidR="00A62B81">
        <w:rPr>
          <w:rFonts w:ascii="Arial" w:hAnsi="Arial" w:cs="Arial"/>
          <w:b/>
          <w:sz w:val="22"/>
          <w:szCs w:val="22"/>
        </w:rPr>
        <w:t>(&lt;</w:t>
      </w:r>
      <w:r w:rsidR="00EB77F7">
        <w:rPr>
          <w:rFonts w:ascii="Arial" w:hAnsi="Arial" w:cs="Arial"/>
          <w:b/>
          <w:sz w:val="22"/>
          <w:szCs w:val="22"/>
        </w:rPr>
        <w:t>1y</w:t>
      </w:r>
      <w:r w:rsidR="00D72BE7">
        <w:rPr>
          <w:rFonts w:ascii="Arial" w:hAnsi="Arial" w:cs="Arial"/>
          <w:b/>
          <w:sz w:val="22"/>
          <w:szCs w:val="22"/>
        </w:rPr>
        <w:t>; vascular thrombosis,</w:t>
      </w:r>
      <w:r w:rsidR="00A62B81">
        <w:rPr>
          <w:rFonts w:ascii="Arial" w:hAnsi="Arial" w:cs="Arial"/>
          <w:b/>
          <w:sz w:val="22"/>
          <w:szCs w:val="22"/>
        </w:rPr>
        <w:t xml:space="preserve"> PNF</w:t>
      </w:r>
      <w:r w:rsidR="00D72BE7">
        <w:rPr>
          <w:rFonts w:ascii="Arial" w:hAnsi="Arial" w:cs="Arial"/>
          <w:b/>
          <w:sz w:val="22"/>
          <w:szCs w:val="22"/>
        </w:rPr>
        <w:t>, etc.</w:t>
      </w:r>
      <w:r w:rsidR="00A62B81">
        <w:rPr>
          <w:rFonts w:ascii="Arial" w:hAnsi="Arial" w:cs="Arial"/>
          <w:b/>
          <w:sz w:val="22"/>
          <w:szCs w:val="22"/>
        </w:rPr>
        <w:t>)</w:t>
      </w:r>
    </w:p>
    <w:p w14:paraId="432D876B" w14:textId="52545405" w:rsidR="00491E3A" w:rsidRDefault="00491E3A" w:rsidP="00491E3A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B511E5">
        <w:rPr>
          <w:rFonts w:ascii="Arial" w:hAnsi="Arial" w:cs="Arial"/>
          <w:bCs/>
          <w:sz w:val="22"/>
          <w:szCs w:val="22"/>
        </w:rPr>
        <w:t>ecided on case-by-case basis after reviewing patient-specific factors of re-transplant candidacy, infection risk, etc</w:t>
      </w:r>
      <w:r w:rsidR="005D7730">
        <w:rPr>
          <w:rFonts w:ascii="Arial" w:hAnsi="Arial" w:cs="Arial"/>
          <w:bCs/>
          <w:sz w:val="22"/>
          <w:szCs w:val="22"/>
        </w:rPr>
        <w:t>.</w:t>
      </w:r>
      <w:r w:rsidRPr="00491E3A">
        <w:rPr>
          <w:rFonts w:ascii="Arial" w:hAnsi="Arial" w:cs="Arial"/>
          <w:bCs/>
          <w:sz w:val="22"/>
          <w:szCs w:val="22"/>
        </w:rPr>
        <w:t xml:space="preserve"> </w:t>
      </w:r>
    </w:p>
    <w:p w14:paraId="2520375A" w14:textId="0D0DD9BA" w:rsidR="00A8020D" w:rsidRDefault="00491E3A" w:rsidP="00491E3A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 continuation of </w:t>
      </w:r>
      <w:r w:rsidR="00D72BE7">
        <w:rPr>
          <w:rFonts w:ascii="Arial" w:hAnsi="Arial" w:cs="Arial"/>
          <w:bCs/>
          <w:sz w:val="22"/>
          <w:szCs w:val="22"/>
        </w:rPr>
        <w:t>protocol</w:t>
      </w:r>
      <w:r>
        <w:rPr>
          <w:rFonts w:ascii="Arial" w:hAnsi="Arial" w:cs="Arial"/>
          <w:bCs/>
          <w:sz w:val="22"/>
          <w:szCs w:val="22"/>
        </w:rPr>
        <w:t xml:space="preserve"> immunosuppression if a re-transplant candidate </w:t>
      </w:r>
      <w:r w:rsidR="00EB77F7">
        <w:rPr>
          <w:rFonts w:ascii="Arial" w:hAnsi="Arial" w:cs="Arial"/>
          <w:bCs/>
          <w:sz w:val="22"/>
          <w:szCs w:val="22"/>
        </w:rPr>
        <w:t>within 1y as outlined above</w:t>
      </w:r>
    </w:p>
    <w:p w14:paraId="5023F711" w14:textId="77777777" w:rsidR="00A8020D" w:rsidRPr="00A8020D" w:rsidRDefault="00A8020D" w:rsidP="00A8020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3AF48FF" w14:textId="3232727D" w:rsidR="003B406B" w:rsidRDefault="00C440BB" w:rsidP="00C440BB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Complications of Immunosuppression Withdrawal: Rejection of Failed Allograft</w:t>
      </w:r>
    </w:p>
    <w:p w14:paraId="41FD4DE7" w14:textId="77777777" w:rsidR="000E1C9A" w:rsidRDefault="000E1C9A" w:rsidP="00C440BB">
      <w:pPr>
        <w:ind w:left="1080"/>
        <w:rPr>
          <w:rFonts w:ascii="Arial" w:hAnsi="Arial" w:cs="Arial"/>
          <w:bCs/>
          <w:sz w:val="22"/>
          <w:szCs w:val="22"/>
        </w:rPr>
      </w:pPr>
    </w:p>
    <w:p w14:paraId="4F84806D" w14:textId="76DAC67B" w:rsidR="00C440BB" w:rsidRDefault="00C440BB" w:rsidP="00C440BB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Symptoms Include: graft tenderness, fever, hematuria, localized edema, anemia, gastrointestinal complaints, resistance to erythropoiesis-stimulation agents</w:t>
      </w:r>
    </w:p>
    <w:p w14:paraId="7ABAB2DA" w14:textId="676C4729" w:rsidR="00C440BB" w:rsidRDefault="00C440BB" w:rsidP="00C440BB">
      <w:pPr>
        <w:ind w:left="1080"/>
        <w:rPr>
          <w:rFonts w:ascii="Arial" w:hAnsi="Arial" w:cs="Arial"/>
          <w:bCs/>
          <w:sz w:val="22"/>
          <w:szCs w:val="22"/>
        </w:rPr>
      </w:pPr>
    </w:p>
    <w:p w14:paraId="3FF2D460" w14:textId="12BC7AB4" w:rsidR="00C440BB" w:rsidRDefault="00C440BB" w:rsidP="00C440BB">
      <w:pPr>
        <w:ind w:left="360" w:firstLine="720"/>
        <w:rPr>
          <w:rFonts w:ascii="Arial" w:hAnsi="Arial" w:cs="Arial"/>
          <w:bCs/>
          <w:sz w:val="22"/>
          <w:szCs w:val="22"/>
        </w:rPr>
      </w:pPr>
      <w:r w:rsidRPr="00C440BB">
        <w:rPr>
          <w:rFonts w:ascii="Arial" w:hAnsi="Arial" w:cs="Arial"/>
          <w:bCs/>
          <w:sz w:val="22"/>
          <w:szCs w:val="22"/>
        </w:rPr>
        <w:t>Medical Management</w:t>
      </w:r>
      <w:r>
        <w:rPr>
          <w:rFonts w:ascii="Arial" w:hAnsi="Arial" w:cs="Arial"/>
          <w:bCs/>
          <w:sz w:val="22"/>
          <w:szCs w:val="22"/>
        </w:rPr>
        <w:t xml:space="preserve"> Options:</w:t>
      </w:r>
    </w:p>
    <w:p w14:paraId="63BBFB6B" w14:textId="77777777" w:rsidR="00D23BC1" w:rsidRPr="00C440BB" w:rsidRDefault="00D23BC1" w:rsidP="00C440BB">
      <w:pPr>
        <w:ind w:left="360" w:firstLine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584"/>
        <w:gridCol w:w="2591"/>
        <w:gridCol w:w="1274"/>
        <w:gridCol w:w="2739"/>
      </w:tblGrid>
      <w:tr w:rsidR="00D23BC1" w14:paraId="40BB09B6" w14:textId="77777777" w:rsidTr="00D23BC1">
        <w:trPr>
          <w:trHeight w:val="872"/>
        </w:trPr>
        <w:tc>
          <w:tcPr>
            <w:tcW w:w="1584" w:type="dxa"/>
            <w:tcBorders>
              <w:right w:val="nil"/>
            </w:tcBorders>
            <w:vAlign w:val="center"/>
          </w:tcPr>
          <w:p w14:paraId="20EACDD5" w14:textId="4DDC6342" w:rsidR="00D23BC1" w:rsidRPr="00D23BC1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3BC1">
              <w:rPr>
                <w:rFonts w:ascii="Arial" w:hAnsi="Arial" w:cs="Arial"/>
                <w:b/>
                <w:bCs/>
                <w:sz w:val="22"/>
                <w:szCs w:val="22"/>
              </w:rPr>
              <w:t>Initial Pulse</w:t>
            </w:r>
          </w:p>
        </w:tc>
        <w:tc>
          <w:tcPr>
            <w:tcW w:w="2591" w:type="dxa"/>
            <w:tcBorders>
              <w:right w:val="nil"/>
            </w:tcBorders>
            <w:vAlign w:val="center"/>
          </w:tcPr>
          <w:p w14:paraId="54D0D800" w14:textId="52F1CA4D" w:rsidR="00D23BC1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Oral Prednisone 100mg daily x5 days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B4998" w14:textId="7F78165C" w:rsidR="00D23BC1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</w:t>
            </w:r>
          </w:p>
        </w:tc>
        <w:tc>
          <w:tcPr>
            <w:tcW w:w="2739" w:type="dxa"/>
            <w:tcBorders>
              <w:left w:val="nil"/>
            </w:tcBorders>
            <w:vAlign w:val="center"/>
          </w:tcPr>
          <w:p w14:paraId="45434501" w14:textId="4892EF80" w:rsidR="00D23BC1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 Methylprednisolone 5mg/kg daily x3 doses</w:t>
            </w:r>
          </w:p>
        </w:tc>
      </w:tr>
      <w:tr w:rsidR="00D23BC1" w14:paraId="0C318528" w14:textId="77777777" w:rsidTr="0069217D">
        <w:trPr>
          <w:trHeight w:val="878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CE8B31D" w14:textId="77777777" w:rsidR="00D23BC1" w:rsidRPr="00D23BC1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3B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Taper </w:t>
            </w:r>
          </w:p>
          <w:p w14:paraId="3FD2AF7D" w14:textId="5A95B90B" w:rsidR="00D23BC1" w:rsidRPr="00D23BC1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3BC1">
              <w:rPr>
                <w:rFonts w:ascii="Arial" w:hAnsi="Arial" w:cs="Arial"/>
                <w:b/>
                <w:bCs/>
                <w:sz w:val="22"/>
                <w:szCs w:val="22"/>
              </w:rPr>
              <w:t>(after pulse)</w:t>
            </w:r>
          </w:p>
        </w:tc>
        <w:tc>
          <w:tcPr>
            <w:tcW w:w="6604" w:type="dxa"/>
            <w:gridSpan w:val="3"/>
            <w:tcBorders>
              <w:bottom w:val="single" w:sz="4" w:space="0" w:color="auto"/>
            </w:tcBorders>
            <w:vAlign w:val="center"/>
          </w:tcPr>
          <w:p w14:paraId="4831AF4A" w14:textId="77777777" w:rsidR="00EB77F7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Prednisone 40mg daily x2 weeks, 30mg daily x2 weeks, </w:t>
            </w:r>
          </w:p>
          <w:p w14:paraId="5BDEC4D2" w14:textId="5C8A7EDC" w:rsidR="00D23BC1" w:rsidRDefault="00D23BC1" w:rsidP="00D23BC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20mg daily x2 weeks, 10mg daily x2 weeks, 5mg daily x2 weeks, then discontinue</w:t>
            </w:r>
          </w:p>
        </w:tc>
      </w:tr>
      <w:tr w:rsidR="0069217D" w14:paraId="4D3515EF" w14:textId="77777777" w:rsidTr="0069217D">
        <w:trPr>
          <w:trHeight w:val="576"/>
        </w:trPr>
        <w:tc>
          <w:tcPr>
            <w:tcW w:w="818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3090C99" w14:textId="1596779C" w:rsidR="0069217D" w:rsidRPr="0069217D" w:rsidRDefault="0069217D" w:rsidP="0069217D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9217D">
              <w:rPr>
                <w:rFonts w:ascii="Arial" w:hAnsi="Arial" w:cs="Arial"/>
                <w:bCs/>
                <w:i/>
                <w:sz w:val="22"/>
                <w:szCs w:val="22"/>
              </w:rPr>
              <w:t>NOTE: consider PPI or H2RA blocker and PJP prophylaxis while on high dose prednisone (&gt;20mg/day)</w:t>
            </w:r>
          </w:p>
        </w:tc>
      </w:tr>
    </w:tbl>
    <w:p w14:paraId="42F2C89E" w14:textId="151655B9" w:rsidR="00C440BB" w:rsidRPr="00C440BB" w:rsidRDefault="00C440BB" w:rsidP="00C440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2699EBD" w14:textId="2EFF8A8E" w:rsidR="00C440BB" w:rsidRDefault="00C440BB" w:rsidP="00C440BB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Surgical Management: consider </w:t>
      </w:r>
      <w:r w:rsidR="00D72BE7">
        <w:rPr>
          <w:rFonts w:ascii="Arial" w:hAnsi="Arial" w:cs="Arial"/>
          <w:bCs/>
          <w:sz w:val="22"/>
          <w:szCs w:val="22"/>
        </w:rPr>
        <w:t xml:space="preserve">angioembolization and/or </w:t>
      </w:r>
      <w:r>
        <w:rPr>
          <w:rFonts w:ascii="Arial" w:hAnsi="Arial" w:cs="Arial"/>
          <w:bCs/>
          <w:sz w:val="22"/>
          <w:szCs w:val="22"/>
        </w:rPr>
        <w:t>transplant nephrectomy if above interventions fail</w:t>
      </w:r>
      <w:r w:rsidR="00B12866">
        <w:rPr>
          <w:rFonts w:ascii="Arial" w:hAnsi="Arial" w:cs="Arial"/>
          <w:bCs/>
          <w:sz w:val="22"/>
          <w:szCs w:val="22"/>
        </w:rPr>
        <w:t xml:space="preserve"> after two rounds</w:t>
      </w:r>
      <w:r>
        <w:rPr>
          <w:rFonts w:ascii="Arial" w:hAnsi="Arial" w:cs="Arial"/>
          <w:bCs/>
          <w:sz w:val="22"/>
          <w:szCs w:val="22"/>
        </w:rPr>
        <w:t>, consult transplant surgery team and transplant nephrology team for evaluation and candidacy</w:t>
      </w:r>
    </w:p>
    <w:p w14:paraId="14A364D7" w14:textId="6339F7AA" w:rsidR="00C440BB" w:rsidRDefault="00C440BB" w:rsidP="00C440BB">
      <w:pPr>
        <w:ind w:left="1080"/>
        <w:rPr>
          <w:rFonts w:ascii="Arial" w:hAnsi="Arial" w:cs="Arial"/>
          <w:bCs/>
          <w:sz w:val="22"/>
          <w:szCs w:val="22"/>
        </w:rPr>
      </w:pPr>
    </w:p>
    <w:p w14:paraId="41DF14BE" w14:textId="77777777" w:rsidR="008714E5" w:rsidRPr="00C440BB" w:rsidRDefault="008714E5" w:rsidP="00C440BB">
      <w:pPr>
        <w:ind w:left="1080"/>
        <w:rPr>
          <w:rFonts w:ascii="Arial" w:hAnsi="Arial" w:cs="Arial"/>
          <w:bCs/>
          <w:sz w:val="22"/>
          <w:szCs w:val="22"/>
        </w:rPr>
      </w:pPr>
    </w:p>
    <w:p w14:paraId="61FCF14F" w14:textId="071DC3C1" w:rsidR="00C440BB" w:rsidRDefault="00C440BB" w:rsidP="00C440BB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Follow Up Guidelines</w:t>
      </w:r>
    </w:p>
    <w:p w14:paraId="27B5CD2B" w14:textId="2C06191D" w:rsidR="001B714A" w:rsidRPr="001B714A" w:rsidRDefault="008714E5" w:rsidP="001B714A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Transplant </w:t>
      </w:r>
      <w:r w:rsidR="001B714A" w:rsidRPr="001B714A">
        <w:rPr>
          <w:rFonts w:ascii="Arial" w:hAnsi="Arial" w:cs="Arial"/>
          <w:bCs/>
          <w:sz w:val="22"/>
          <w:szCs w:val="22"/>
        </w:rPr>
        <w:t>Appointment:</w:t>
      </w:r>
    </w:p>
    <w:p w14:paraId="1D88DBBB" w14:textId="6181DFC6" w:rsidR="00877522" w:rsidRPr="00877522" w:rsidRDefault="00B12866" w:rsidP="00877522">
      <w:pPr>
        <w:pStyle w:val="ListParagraph"/>
        <w:numPr>
          <w:ilvl w:val="2"/>
          <w:numId w:val="4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patient is &lt;</w:t>
      </w:r>
      <w:r w:rsidR="00EB77F7">
        <w:rPr>
          <w:rFonts w:ascii="Arial" w:hAnsi="Arial" w:cs="Arial"/>
          <w:bCs/>
          <w:sz w:val="22"/>
          <w:szCs w:val="22"/>
        </w:rPr>
        <w:t>1y</w:t>
      </w:r>
      <w:r>
        <w:rPr>
          <w:rFonts w:ascii="Arial" w:hAnsi="Arial" w:cs="Arial"/>
          <w:bCs/>
          <w:sz w:val="22"/>
          <w:szCs w:val="22"/>
        </w:rPr>
        <w:t xml:space="preserve"> from transplant </w:t>
      </w:r>
      <w:r w:rsidR="00877522">
        <w:rPr>
          <w:rFonts w:ascii="Arial" w:hAnsi="Arial" w:cs="Arial"/>
          <w:bCs/>
          <w:sz w:val="22"/>
          <w:szCs w:val="22"/>
        </w:rPr>
        <w:t>or</w:t>
      </w:r>
      <w:r>
        <w:rPr>
          <w:rFonts w:ascii="Arial" w:hAnsi="Arial" w:cs="Arial"/>
          <w:bCs/>
          <w:sz w:val="22"/>
          <w:szCs w:val="22"/>
        </w:rPr>
        <w:t xml:space="preserve"> declared PNF, follow short-term follow up </w:t>
      </w:r>
      <w:r w:rsidR="00E768D7">
        <w:rPr>
          <w:rFonts w:ascii="Arial" w:hAnsi="Arial" w:cs="Arial"/>
          <w:bCs/>
          <w:sz w:val="22"/>
          <w:szCs w:val="22"/>
        </w:rPr>
        <w:t>guidelines</w:t>
      </w:r>
      <w:r w:rsidR="00877522">
        <w:rPr>
          <w:rFonts w:ascii="Arial" w:hAnsi="Arial" w:cs="Arial"/>
          <w:bCs/>
          <w:sz w:val="22"/>
          <w:szCs w:val="22"/>
        </w:rPr>
        <w:t xml:space="preserve">. </w:t>
      </w:r>
      <w:r w:rsidR="00EB77F7">
        <w:rPr>
          <w:rFonts w:ascii="Arial" w:hAnsi="Arial" w:cs="Arial"/>
          <w:bCs/>
          <w:sz w:val="22"/>
          <w:szCs w:val="22"/>
        </w:rPr>
        <w:t xml:space="preserve">Transplant </w:t>
      </w:r>
      <w:bookmarkStart w:id="0" w:name="_GoBack"/>
      <w:bookmarkEnd w:id="0"/>
      <w:r w:rsidR="00877522" w:rsidRPr="00877522">
        <w:rPr>
          <w:rFonts w:ascii="Arial" w:hAnsi="Arial" w:cs="Arial"/>
          <w:bCs/>
          <w:sz w:val="22"/>
          <w:szCs w:val="22"/>
        </w:rPr>
        <w:t xml:space="preserve">Nephrologist </w:t>
      </w:r>
      <w:r w:rsidR="00877522">
        <w:rPr>
          <w:rFonts w:ascii="Arial" w:hAnsi="Arial" w:cs="Arial"/>
          <w:bCs/>
          <w:sz w:val="22"/>
          <w:szCs w:val="22"/>
        </w:rPr>
        <w:t>should</w:t>
      </w:r>
      <w:r w:rsidR="00877522" w:rsidRPr="00877522">
        <w:rPr>
          <w:rFonts w:ascii="Arial" w:hAnsi="Arial" w:cs="Arial"/>
          <w:bCs/>
          <w:sz w:val="22"/>
          <w:szCs w:val="22"/>
        </w:rPr>
        <w:t xml:space="preserve"> tailor</w:t>
      </w:r>
      <w:r w:rsidR="00877522">
        <w:rPr>
          <w:rFonts w:ascii="Arial" w:hAnsi="Arial" w:cs="Arial"/>
          <w:bCs/>
          <w:sz w:val="22"/>
          <w:szCs w:val="22"/>
        </w:rPr>
        <w:t xml:space="preserve"> </w:t>
      </w:r>
      <w:r w:rsidR="00985981">
        <w:rPr>
          <w:rFonts w:ascii="Arial" w:hAnsi="Arial" w:cs="Arial"/>
          <w:bCs/>
          <w:sz w:val="22"/>
          <w:szCs w:val="22"/>
        </w:rPr>
        <w:t xml:space="preserve">future </w:t>
      </w:r>
      <w:r w:rsidR="00985981" w:rsidRPr="00877522">
        <w:rPr>
          <w:rFonts w:ascii="Arial" w:hAnsi="Arial" w:cs="Arial"/>
          <w:bCs/>
          <w:sz w:val="22"/>
          <w:szCs w:val="22"/>
        </w:rPr>
        <w:t>visits</w:t>
      </w:r>
      <w:r w:rsidR="00877522">
        <w:rPr>
          <w:rFonts w:ascii="Arial" w:hAnsi="Arial" w:cs="Arial"/>
          <w:bCs/>
          <w:sz w:val="22"/>
          <w:szCs w:val="22"/>
        </w:rPr>
        <w:t>/labs</w:t>
      </w:r>
      <w:r w:rsidR="00877522" w:rsidRPr="00877522">
        <w:rPr>
          <w:rFonts w:ascii="Arial" w:hAnsi="Arial" w:cs="Arial"/>
          <w:bCs/>
          <w:sz w:val="22"/>
          <w:szCs w:val="22"/>
        </w:rPr>
        <w:t xml:space="preserve"> based on clinical factors</w:t>
      </w:r>
      <w:r w:rsidR="00877522">
        <w:rPr>
          <w:rFonts w:ascii="Arial" w:hAnsi="Arial" w:cs="Arial"/>
          <w:bCs/>
          <w:sz w:val="22"/>
          <w:szCs w:val="22"/>
        </w:rPr>
        <w:t>.</w:t>
      </w:r>
    </w:p>
    <w:p w14:paraId="643BD256" w14:textId="1448CE93" w:rsidR="001B714A" w:rsidRDefault="001B714A" w:rsidP="001B714A">
      <w:pPr>
        <w:pStyle w:val="ListParagraph"/>
        <w:numPr>
          <w:ilvl w:val="2"/>
          <w:numId w:val="4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patient is &gt;</w:t>
      </w:r>
      <w:r w:rsidR="00EB77F7">
        <w:rPr>
          <w:rFonts w:ascii="Arial" w:hAnsi="Arial" w:cs="Arial"/>
          <w:bCs/>
          <w:sz w:val="22"/>
          <w:szCs w:val="22"/>
        </w:rPr>
        <w:t>1y</w:t>
      </w:r>
      <w:r>
        <w:rPr>
          <w:rFonts w:ascii="Arial" w:hAnsi="Arial" w:cs="Arial"/>
          <w:bCs/>
          <w:sz w:val="22"/>
          <w:szCs w:val="22"/>
        </w:rPr>
        <w:t xml:space="preserve"> from transplant, schedule appointment with Primary Transplant Nephrologist or Long-Term APP within </w:t>
      </w:r>
      <w:r w:rsidR="00B12866">
        <w:rPr>
          <w:rFonts w:ascii="Arial" w:hAnsi="Arial" w:cs="Arial"/>
          <w:bCs/>
          <w:sz w:val="22"/>
          <w:szCs w:val="22"/>
        </w:rPr>
        <w:t>1-2 months</w:t>
      </w:r>
      <w:r>
        <w:rPr>
          <w:rFonts w:ascii="Arial" w:hAnsi="Arial" w:cs="Arial"/>
          <w:bCs/>
          <w:sz w:val="22"/>
          <w:szCs w:val="22"/>
        </w:rPr>
        <w:t xml:space="preserve"> of declaring failed </w:t>
      </w:r>
      <w:r w:rsidR="008714E5">
        <w:rPr>
          <w:rFonts w:ascii="Arial" w:hAnsi="Arial" w:cs="Arial"/>
          <w:bCs/>
          <w:sz w:val="22"/>
          <w:szCs w:val="22"/>
        </w:rPr>
        <w:t>allo</w:t>
      </w:r>
      <w:r>
        <w:rPr>
          <w:rFonts w:ascii="Arial" w:hAnsi="Arial" w:cs="Arial"/>
          <w:bCs/>
          <w:sz w:val="22"/>
          <w:szCs w:val="22"/>
        </w:rPr>
        <w:t>graft (either telemedicine or in-person visit)</w:t>
      </w:r>
      <w:r w:rsidR="00B4526C">
        <w:rPr>
          <w:rFonts w:ascii="Arial" w:hAnsi="Arial" w:cs="Arial"/>
          <w:bCs/>
          <w:sz w:val="22"/>
          <w:szCs w:val="22"/>
        </w:rPr>
        <w:t>.</w:t>
      </w:r>
    </w:p>
    <w:p w14:paraId="1EAE810F" w14:textId="0A03E1D3" w:rsidR="00B12866" w:rsidRPr="00B12866" w:rsidRDefault="00B12866" w:rsidP="00B12866">
      <w:pPr>
        <w:pStyle w:val="ListParagraph"/>
        <w:numPr>
          <w:ilvl w:val="2"/>
          <w:numId w:val="4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transplant nephrectomy performed, schedule appointment with Transplant Surgeon for 2 weeks after hospital discharge</w:t>
      </w:r>
      <w:r w:rsidR="00B4526C">
        <w:rPr>
          <w:rFonts w:ascii="Arial" w:hAnsi="Arial" w:cs="Arial"/>
          <w:bCs/>
          <w:sz w:val="22"/>
          <w:szCs w:val="22"/>
        </w:rPr>
        <w:t>.</w:t>
      </w:r>
    </w:p>
    <w:p w14:paraId="3770B941" w14:textId="77777777" w:rsidR="001B714A" w:rsidRDefault="001B714A" w:rsidP="001B714A">
      <w:pPr>
        <w:pStyle w:val="ListParagraph"/>
        <w:ind w:left="1800"/>
        <w:rPr>
          <w:rFonts w:ascii="Arial" w:hAnsi="Arial" w:cs="Arial"/>
          <w:bCs/>
          <w:sz w:val="22"/>
          <w:szCs w:val="22"/>
        </w:rPr>
      </w:pPr>
    </w:p>
    <w:p w14:paraId="40FDEB19" w14:textId="3CBE930E" w:rsidR="001B714A" w:rsidRDefault="001B714A" w:rsidP="001B714A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Communication with patient’s Primary Nephrologist:</w:t>
      </w:r>
    </w:p>
    <w:p w14:paraId="652C0A13" w14:textId="514CDDA5" w:rsidR="001B714A" w:rsidRDefault="001B714A" w:rsidP="001B714A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Immunosuppression Management Plan as outlined above</w:t>
      </w:r>
    </w:p>
    <w:p w14:paraId="0CDFE194" w14:textId="0E4CBB12" w:rsidR="001B714A" w:rsidRDefault="001B714A" w:rsidP="001B714A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Re-Transplant Candidacy status</w:t>
      </w:r>
    </w:p>
    <w:p w14:paraId="30B14C19" w14:textId="36BB4CEE" w:rsidR="001B714A" w:rsidRDefault="001B714A" w:rsidP="001B714A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Re-Evaluation within 3</w:t>
      </w:r>
      <w:r w:rsidR="00877522">
        <w:rPr>
          <w:rFonts w:ascii="Arial" w:hAnsi="Arial" w:cs="Arial"/>
          <w:bCs/>
          <w:sz w:val="22"/>
          <w:szCs w:val="22"/>
        </w:rPr>
        <w:t>-6</w:t>
      </w:r>
      <w:r>
        <w:rPr>
          <w:rFonts w:ascii="Arial" w:hAnsi="Arial" w:cs="Arial"/>
          <w:bCs/>
          <w:sz w:val="22"/>
          <w:szCs w:val="22"/>
        </w:rPr>
        <w:t xml:space="preserve"> months</w:t>
      </w:r>
    </w:p>
    <w:p w14:paraId="722465F7" w14:textId="2F7789FC" w:rsidR="001B714A" w:rsidRDefault="001B714A" w:rsidP="001B714A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Recommend </w:t>
      </w:r>
      <w:r w:rsidR="00A764A1">
        <w:rPr>
          <w:rFonts w:ascii="Arial" w:hAnsi="Arial" w:cs="Arial"/>
          <w:bCs/>
          <w:i/>
          <w:iCs/>
          <w:sz w:val="22"/>
          <w:szCs w:val="22"/>
        </w:rPr>
        <w:t>notification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to Transplant Nephrologist of any medical issues that arise if patient is &lt;1</w:t>
      </w:r>
      <w:r w:rsidR="00EB77F7">
        <w:rPr>
          <w:rFonts w:ascii="Arial" w:hAnsi="Arial" w:cs="Arial"/>
          <w:bCs/>
          <w:i/>
          <w:iCs/>
          <w:sz w:val="22"/>
          <w:szCs w:val="22"/>
        </w:rPr>
        <w:t>y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post-transplant</w:t>
      </w:r>
    </w:p>
    <w:p w14:paraId="27E2D096" w14:textId="77777777" w:rsidR="001B714A" w:rsidRPr="001B714A" w:rsidRDefault="001B714A" w:rsidP="001B714A">
      <w:pPr>
        <w:pStyle w:val="ListParagraph"/>
        <w:ind w:left="1800"/>
        <w:rPr>
          <w:rFonts w:ascii="Arial" w:hAnsi="Arial" w:cs="Arial"/>
          <w:bCs/>
          <w:sz w:val="22"/>
          <w:szCs w:val="22"/>
        </w:rPr>
      </w:pPr>
    </w:p>
    <w:p w14:paraId="696E6752" w14:textId="10AC8471" w:rsidR="00C440BB" w:rsidRPr="00C440BB" w:rsidRDefault="00C440BB" w:rsidP="00C440BB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Lab Guidelines</w:t>
      </w:r>
    </w:p>
    <w:p w14:paraId="274FD097" w14:textId="4680F9EF" w:rsidR="00037C0E" w:rsidRPr="00A764A1" w:rsidRDefault="00A764A1" w:rsidP="00A764A1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If patient is off all IS, no labs indicated – transfer full care to primary nephrologist</w:t>
      </w:r>
    </w:p>
    <w:p w14:paraId="19EDECDD" w14:textId="0774B1C6" w:rsidR="00B7134E" w:rsidRPr="00E66708" w:rsidRDefault="00A764A1" w:rsidP="003B406B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If patient maintained on </w:t>
      </w:r>
      <w:proofErr w:type="spellStart"/>
      <w:r>
        <w:rPr>
          <w:rFonts w:ascii="Arial" w:hAnsi="Arial" w:cs="Arial"/>
          <w:bCs/>
          <w:sz w:val="22"/>
          <w:szCs w:val="22"/>
        </w:rPr>
        <w:t>belatacept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or CNI based regimen, labs per </w:t>
      </w:r>
      <w:r w:rsidR="00877522">
        <w:rPr>
          <w:rFonts w:ascii="Arial" w:hAnsi="Arial" w:cs="Arial"/>
          <w:bCs/>
          <w:sz w:val="22"/>
          <w:szCs w:val="22"/>
        </w:rPr>
        <w:t>nephrology recs</w:t>
      </w:r>
    </w:p>
    <w:p w14:paraId="4EEE8572" w14:textId="2F823DEE" w:rsidR="003B406B" w:rsidRPr="006D0E4A" w:rsidRDefault="003B406B" w:rsidP="003B406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D59B55" w14:textId="1246DD31" w:rsidR="007D270D" w:rsidRPr="006D0E4A" w:rsidRDefault="007D270D" w:rsidP="009039A5">
      <w:pPr>
        <w:rPr>
          <w:rFonts w:ascii="Arial" w:hAnsi="Arial" w:cs="Arial"/>
          <w:sz w:val="22"/>
          <w:szCs w:val="22"/>
        </w:rPr>
      </w:pPr>
    </w:p>
    <w:p w14:paraId="132C8ABB" w14:textId="757ACED9" w:rsidR="00D31825" w:rsidRPr="006D0E4A" w:rsidRDefault="0018574A" w:rsidP="00D82ADA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 xml:space="preserve">RELATED </w:t>
      </w:r>
      <w:r w:rsidR="001F3959" w:rsidRPr="006D0E4A">
        <w:rPr>
          <w:rFonts w:ascii="Arial" w:hAnsi="Arial" w:cs="Arial"/>
          <w:b/>
          <w:sz w:val="22"/>
          <w:szCs w:val="22"/>
          <w:u w:val="single"/>
        </w:rPr>
        <w:t>POLICIES / PROCEDURE</w:t>
      </w:r>
      <w:r w:rsidR="00C05CA7" w:rsidRPr="006D0E4A">
        <w:rPr>
          <w:rFonts w:ascii="Arial" w:hAnsi="Arial" w:cs="Arial"/>
          <w:b/>
          <w:sz w:val="22"/>
          <w:szCs w:val="22"/>
          <w:u w:val="single"/>
        </w:rPr>
        <w:t>S</w:t>
      </w:r>
      <w:r w:rsidR="00C05CA7" w:rsidRPr="006065BF">
        <w:rPr>
          <w:rFonts w:ascii="Arial" w:hAnsi="Arial" w:cs="Arial"/>
          <w:bCs/>
          <w:sz w:val="22"/>
          <w:szCs w:val="22"/>
        </w:rPr>
        <w:t>:</w:t>
      </w:r>
      <w:r w:rsidR="006065BF" w:rsidRPr="006065BF">
        <w:rPr>
          <w:rFonts w:ascii="Arial" w:hAnsi="Arial" w:cs="Arial"/>
          <w:bCs/>
          <w:sz w:val="22"/>
          <w:szCs w:val="22"/>
        </w:rPr>
        <w:t xml:space="preserve">  N/A</w:t>
      </w:r>
    </w:p>
    <w:p w14:paraId="78FEEEA7" w14:textId="31D5E21F" w:rsidR="007D270D" w:rsidRPr="006D0E4A" w:rsidRDefault="007D270D" w:rsidP="00D82ADA">
      <w:pPr>
        <w:rPr>
          <w:rFonts w:ascii="Arial" w:hAnsi="Arial" w:cs="Arial"/>
          <w:b/>
          <w:sz w:val="22"/>
          <w:szCs w:val="22"/>
          <w:u w:val="single"/>
        </w:rPr>
      </w:pPr>
    </w:p>
    <w:p w14:paraId="75509C3F" w14:textId="77777777" w:rsidR="003B406B" w:rsidRPr="006D0E4A" w:rsidRDefault="003B406B" w:rsidP="00D82ADA">
      <w:pPr>
        <w:rPr>
          <w:rFonts w:ascii="Arial" w:hAnsi="Arial" w:cs="Arial"/>
          <w:b/>
          <w:sz w:val="22"/>
          <w:szCs w:val="22"/>
          <w:u w:val="single"/>
        </w:rPr>
      </w:pPr>
    </w:p>
    <w:p w14:paraId="5A43D9AD" w14:textId="0B2FA624" w:rsidR="00D82ADA" w:rsidRPr="006065BF" w:rsidRDefault="00D82ADA" w:rsidP="00D82ADA">
      <w:pPr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>DEFINITIONS</w:t>
      </w:r>
      <w:r w:rsidR="006065BF" w:rsidRPr="006065BF">
        <w:rPr>
          <w:rFonts w:ascii="Arial" w:hAnsi="Arial" w:cs="Arial"/>
          <w:bCs/>
          <w:sz w:val="22"/>
          <w:szCs w:val="22"/>
        </w:rPr>
        <w:t>:  N/A</w:t>
      </w:r>
    </w:p>
    <w:p w14:paraId="471853B2" w14:textId="0B4FB1A1" w:rsidR="003B406B" w:rsidRPr="006D0E4A" w:rsidRDefault="003B406B" w:rsidP="00D82ADA">
      <w:pPr>
        <w:rPr>
          <w:rFonts w:ascii="Arial" w:hAnsi="Arial" w:cs="Arial"/>
          <w:sz w:val="22"/>
          <w:szCs w:val="22"/>
        </w:rPr>
      </w:pPr>
    </w:p>
    <w:p w14:paraId="0B5E186D" w14:textId="77777777" w:rsidR="003B406B" w:rsidRPr="006D0E4A" w:rsidRDefault="003B406B" w:rsidP="00D82ADA">
      <w:pPr>
        <w:rPr>
          <w:rFonts w:ascii="Arial" w:hAnsi="Arial" w:cs="Arial"/>
          <w:sz w:val="22"/>
          <w:szCs w:val="22"/>
        </w:rPr>
      </w:pPr>
    </w:p>
    <w:p w14:paraId="47BB4178" w14:textId="6DEEE1C4" w:rsidR="00A973EE" w:rsidRPr="006065BF" w:rsidRDefault="00A973EE" w:rsidP="00D82ADA">
      <w:pPr>
        <w:rPr>
          <w:rFonts w:ascii="Arial" w:hAnsi="Arial" w:cs="Arial"/>
          <w:bCs/>
          <w:sz w:val="22"/>
          <w:szCs w:val="22"/>
        </w:rPr>
      </w:pPr>
      <w:r w:rsidRPr="006D0E4A">
        <w:rPr>
          <w:rFonts w:ascii="Arial" w:hAnsi="Arial" w:cs="Arial"/>
          <w:b/>
          <w:sz w:val="22"/>
          <w:szCs w:val="22"/>
          <w:u w:val="single"/>
        </w:rPr>
        <w:t>REFERENCES AND SOURCES OF EVIDENCE</w:t>
      </w:r>
      <w:r w:rsidR="006065BF">
        <w:rPr>
          <w:rFonts w:ascii="Arial" w:hAnsi="Arial" w:cs="Arial"/>
          <w:bCs/>
          <w:sz w:val="22"/>
          <w:szCs w:val="22"/>
        </w:rPr>
        <w:t>:</w:t>
      </w:r>
    </w:p>
    <w:p w14:paraId="787C6D3A" w14:textId="5CF327C9" w:rsidR="005B1EA3" w:rsidRPr="005B1EA3" w:rsidRDefault="005B1EA3" w:rsidP="005B1E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  <w:proofErr w:type="spellStart"/>
      <w:r w:rsidRPr="005B1EA3">
        <w:rPr>
          <w:rFonts w:ascii="Arial" w:hAnsi="Arial" w:cs="Arial"/>
          <w:sz w:val="22"/>
          <w:szCs w:val="22"/>
        </w:rPr>
        <w:t>Belatacept</w:t>
      </w:r>
      <w:proofErr w:type="spellEnd"/>
      <w:r w:rsidRPr="005B1EA3">
        <w:rPr>
          <w:rFonts w:ascii="Arial" w:hAnsi="Arial" w:cs="Arial"/>
          <w:sz w:val="22"/>
          <w:szCs w:val="22"/>
        </w:rPr>
        <w:t xml:space="preserve"> in Kidney Transplant Recipients With Failed Allografts for the Prevention of Humoral Sensitization: A Pilot Randomized Controlled Trial</w:t>
      </w:r>
      <w:r>
        <w:rPr>
          <w:rFonts w:ascii="Arial" w:hAnsi="Arial" w:cs="Arial"/>
          <w:sz w:val="22"/>
          <w:szCs w:val="22"/>
        </w:rPr>
        <w:t>-</w:t>
      </w:r>
      <w:r w:rsidRPr="005B1EA3">
        <w:rPr>
          <w:rFonts w:ascii="Arial" w:hAnsi="Arial" w:cs="Arial"/>
          <w:sz w:val="22"/>
          <w:szCs w:val="22"/>
        </w:rPr>
        <w:t>I Raul Badell</w:t>
      </w:r>
      <w:r>
        <w:rPr>
          <w:rFonts w:ascii="Arial" w:hAnsi="Arial" w:cs="Arial"/>
          <w:sz w:val="22"/>
          <w:szCs w:val="22"/>
        </w:rPr>
        <w:t xml:space="preserve"> Et al. </w:t>
      </w:r>
      <w:r w:rsidRPr="005B1EA3">
        <w:rPr>
          <w:rFonts w:ascii="Arial" w:hAnsi="Arial" w:cs="Arial"/>
          <w:sz w:val="22"/>
          <w:szCs w:val="22"/>
        </w:rPr>
        <w:t>https://pubmed.ncbi.nlm.nih.gov/34818307/</w:t>
      </w:r>
    </w:p>
    <w:p w14:paraId="2C98CCDD" w14:textId="07E5084F" w:rsidR="00C44324" w:rsidRPr="006D0E4A" w:rsidRDefault="00C44324" w:rsidP="00C443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sz w:val="22"/>
          <w:szCs w:val="22"/>
        </w:rPr>
        <w:t>Management considerations in the failing renal allograft. Tom Lea-Henry and Bobby Chacko. Nephrology 23 (2018) 12–19</w:t>
      </w:r>
    </w:p>
    <w:p w14:paraId="7BB0AFE1" w14:textId="77777777" w:rsidR="00061DDA" w:rsidRPr="006D0E4A" w:rsidRDefault="00E27423" w:rsidP="00061DD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sz w:val="22"/>
          <w:szCs w:val="22"/>
        </w:rPr>
        <w:t xml:space="preserve">Pham PT, Everly M, </w:t>
      </w:r>
      <w:proofErr w:type="spellStart"/>
      <w:r w:rsidRPr="006D0E4A">
        <w:rPr>
          <w:rFonts w:ascii="Arial" w:hAnsi="Arial" w:cs="Arial"/>
          <w:sz w:val="22"/>
          <w:szCs w:val="22"/>
        </w:rPr>
        <w:t>Faravardeh</w:t>
      </w:r>
      <w:proofErr w:type="spellEnd"/>
      <w:r w:rsidRPr="006D0E4A">
        <w:rPr>
          <w:rFonts w:ascii="Arial" w:hAnsi="Arial" w:cs="Arial"/>
          <w:sz w:val="22"/>
          <w:szCs w:val="22"/>
        </w:rPr>
        <w:t xml:space="preserve"> A, Pham PC. Management of patients with a failed kidney transplant: Dialysis </w:t>
      </w:r>
      <w:proofErr w:type="spellStart"/>
      <w:r w:rsidRPr="006D0E4A">
        <w:rPr>
          <w:rFonts w:ascii="Arial" w:hAnsi="Arial" w:cs="Arial"/>
          <w:sz w:val="22"/>
          <w:szCs w:val="22"/>
        </w:rPr>
        <w:t>reinitiation</w:t>
      </w:r>
      <w:proofErr w:type="spellEnd"/>
      <w:r w:rsidRPr="006D0E4A">
        <w:rPr>
          <w:rFonts w:ascii="Arial" w:hAnsi="Arial" w:cs="Arial"/>
          <w:sz w:val="22"/>
          <w:szCs w:val="22"/>
        </w:rPr>
        <w:t xml:space="preserve">, immunosuppression weaning, and </w:t>
      </w:r>
      <w:proofErr w:type="spellStart"/>
      <w:r w:rsidRPr="006D0E4A">
        <w:rPr>
          <w:rFonts w:ascii="Arial" w:hAnsi="Arial" w:cs="Arial"/>
          <w:sz w:val="22"/>
          <w:szCs w:val="22"/>
        </w:rPr>
        <w:t>transplantectomy</w:t>
      </w:r>
      <w:proofErr w:type="spellEnd"/>
      <w:r w:rsidRPr="006D0E4A">
        <w:rPr>
          <w:rFonts w:ascii="Arial" w:hAnsi="Arial" w:cs="Arial"/>
          <w:sz w:val="22"/>
          <w:szCs w:val="22"/>
        </w:rPr>
        <w:t>. World J Nephrol. 2015;4(2):148-159. doi:10.5527/wjn.v4.i2.148</w:t>
      </w:r>
    </w:p>
    <w:p w14:paraId="60E569C2" w14:textId="11AE6704" w:rsidR="006F1E72" w:rsidRPr="006D0E4A" w:rsidRDefault="00061DDA" w:rsidP="003B40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  <w:r w:rsidRPr="006D0E4A">
        <w:rPr>
          <w:rFonts w:ascii="Arial" w:hAnsi="Arial" w:cs="Arial"/>
          <w:sz w:val="22"/>
          <w:szCs w:val="22"/>
        </w:rPr>
        <w:t xml:space="preserve">Prolonged </w:t>
      </w:r>
      <w:r w:rsidRPr="006D0E4A">
        <w:rPr>
          <w:rStyle w:val="ej-keyword"/>
          <w:rFonts w:ascii="Arial" w:hAnsi="Arial" w:cs="Arial"/>
          <w:sz w:val="22"/>
          <w:szCs w:val="22"/>
        </w:rPr>
        <w:t>Immunosuppression</w:t>
      </w:r>
      <w:r w:rsidRPr="006D0E4A">
        <w:rPr>
          <w:rFonts w:ascii="Arial" w:hAnsi="Arial" w:cs="Arial"/>
          <w:sz w:val="22"/>
          <w:szCs w:val="22"/>
        </w:rPr>
        <w:t xml:space="preserve"> Preserves </w:t>
      </w:r>
      <w:proofErr w:type="spellStart"/>
      <w:r w:rsidRPr="006D0E4A">
        <w:rPr>
          <w:rFonts w:ascii="Arial" w:hAnsi="Arial" w:cs="Arial"/>
          <w:sz w:val="22"/>
          <w:szCs w:val="22"/>
        </w:rPr>
        <w:t>Nonsensitization</w:t>
      </w:r>
      <w:proofErr w:type="spellEnd"/>
      <w:r w:rsidRPr="006D0E4A">
        <w:rPr>
          <w:rFonts w:ascii="Arial" w:hAnsi="Arial" w:cs="Arial"/>
          <w:sz w:val="22"/>
          <w:szCs w:val="22"/>
        </w:rPr>
        <w:t xml:space="preserve"> Status After </w:t>
      </w:r>
      <w:r w:rsidRPr="006D0E4A">
        <w:rPr>
          <w:rStyle w:val="ej-keyword"/>
          <w:rFonts w:ascii="Arial" w:hAnsi="Arial" w:cs="Arial"/>
          <w:sz w:val="22"/>
          <w:szCs w:val="22"/>
        </w:rPr>
        <w:t>Kidney</w:t>
      </w:r>
      <w:r w:rsidRPr="006D0E4A">
        <w:rPr>
          <w:rFonts w:ascii="Arial" w:hAnsi="Arial" w:cs="Arial"/>
          <w:sz w:val="22"/>
          <w:szCs w:val="22"/>
        </w:rPr>
        <w:t xml:space="preserve"> Transplant Failure</w:t>
      </w:r>
      <w:r w:rsidR="00332EBE" w:rsidRPr="006D0E4A">
        <w:rPr>
          <w:rFonts w:ascii="Arial" w:hAnsi="Arial" w:cs="Arial"/>
          <w:sz w:val="22"/>
          <w:szCs w:val="22"/>
        </w:rPr>
        <w:t xml:space="preserve">. </w:t>
      </w:r>
      <w:r w:rsidRPr="006D0E4A">
        <w:rPr>
          <w:rFonts w:ascii="Arial" w:hAnsi="Arial" w:cs="Arial"/>
          <w:sz w:val="22"/>
          <w:szCs w:val="22"/>
        </w:rPr>
        <w:t>Casey, Michael J.</w:t>
      </w:r>
      <w:r w:rsidRPr="006D0E4A">
        <w:rPr>
          <w:rFonts w:ascii="Arial" w:hAnsi="Arial" w:cs="Arial"/>
          <w:sz w:val="22"/>
          <w:szCs w:val="22"/>
          <w:vertAlign w:val="superscript"/>
        </w:rPr>
        <w:t>1,6</w:t>
      </w:r>
      <w:r w:rsidRPr="006D0E4A">
        <w:rPr>
          <w:rFonts w:ascii="Arial" w:hAnsi="Arial" w:cs="Arial"/>
          <w:sz w:val="22"/>
          <w:szCs w:val="22"/>
        </w:rPr>
        <w:t>; Wen, Xuerong</w:t>
      </w:r>
      <w:r w:rsidRPr="006D0E4A">
        <w:rPr>
          <w:rFonts w:ascii="Arial" w:hAnsi="Arial" w:cs="Arial"/>
          <w:sz w:val="22"/>
          <w:szCs w:val="22"/>
          <w:vertAlign w:val="superscript"/>
        </w:rPr>
        <w:t>1</w:t>
      </w:r>
      <w:r w:rsidRPr="006D0E4A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D0E4A">
        <w:rPr>
          <w:rFonts w:ascii="Arial" w:hAnsi="Arial" w:cs="Arial"/>
          <w:sz w:val="22"/>
          <w:szCs w:val="22"/>
        </w:rPr>
        <w:t>Kayler</w:t>
      </w:r>
      <w:proofErr w:type="spellEnd"/>
      <w:r w:rsidRPr="006D0E4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E4A">
        <w:rPr>
          <w:rFonts w:ascii="Arial" w:hAnsi="Arial" w:cs="Arial"/>
          <w:sz w:val="22"/>
          <w:szCs w:val="22"/>
        </w:rPr>
        <w:t>Liise</w:t>
      </w:r>
      <w:proofErr w:type="spellEnd"/>
      <w:r w:rsidRPr="006D0E4A">
        <w:rPr>
          <w:rFonts w:ascii="Arial" w:hAnsi="Arial" w:cs="Arial"/>
          <w:sz w:val="22"/>
          <w:szCs w:val="22"/>
        </w:rPr>
        <w:t xml:space="preserve"> K.</w:t>
      </w:r>
      <w:r w:rsidRPr="006D0E4A">
        <w:rPr>
          <w:rFonts w:ascii="Arial" w:hAnsi="Arial" w:cs="Arial"/>
          <w:sz w:val="22"/>
          <w:szCs w:val="22"/>
          <w:vertAlign w:val="superscript"/>
        </w:rPr>
        <w:t>2</w:t>
      </w:r>
      <w:r w:rsidRPr="006D0E4A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D0E4A">
        <w:rPr>
          <w:rFonts w:ascii="Arial" w:hAnsi="Arial" w:cs="Arial"/>
          <w:sz w:val="22"/>
          <w:szCs w:val="22"/>
        </w:rPr>
        <w:t>Aiyer</w:t>
      </w:r>
      <w:proofErr w:type="spellEnd"/>
      <w:r w:rsidRPr="006D0E4A">
        <w:rPr>
          <w:rFonts w:ascii="Arial" w:hAnsi="Arial" w:cs="Arial"/>
          <w:sz w:val="22"/>
          <w:szCs w:val="22"/>
        </w:rPr>
        <w:t>, Ravi</w:t>
      </w:r>
      <w:r w:rsidRPr="006D0E4A">
        <w:rPr>
          <w:rFonts w:ascii="Arial" w:hAnsi="Arial" w:cs="Arial"/>
          <w:sz w:val="22"/>
          <w:szCs w:val="22"/>
          <w:vertAlign w:val="superscript"/>
        </w:rPr>
        <w:t>3</w:t>
      </w:r>
      <w:r w:rsidRPr="006D0E4A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D0E4A">
        <w:rPr>
          <w:rFonts w:ascii="Arial" w:hAnsi="Arial" w:cs="Arial"/>
          <w:sz w:val="22"/>
          <w:szCs w:val="22"/>
        </w:rPr>
        <w:t>Scornik</w:t>
      </w:r>
      <w:proofErr w:type="spellEnd"/>
      <w:r w:rsidRPr="006D0E4A">
        <w:rPr>
          <w:rFonts w:ascii="Arial" w:hAnsi="Arial" w:cs="Arial"/>
          <w:sz w:val="22"/>
          <w:szCs w:val="22"/>
        </w:rPr>
        <w:t>, Juan C.</w:t>
      </w:r>
      <w:r w:rsidRPr="006D0E4A">
        <w:rPr>
          <w:rFonts w:ascii="Arial" w:hAnsi="Arial" w:cs="Arial"/>
          <w:sz w:val="22"/>
          <w:szCs w:val="22"/>
          <w:vertAlign w:val="superscript"/>
        </w:rPr>
        <w:t>4</w:t>
      </w:r>
      <w:r w:rsidRPr="006D0E4A">
        <w:rPr>
          <w:rFonts w:ascii="Arial" w:hAnsi="Arial" w:cs="Arial"/>
          <w:sz w:val="22"/>
          <w:szCs w:val="22"/>
        </w:rPr>
        <w:t>; Meier-</w:t>
      </w:r>
      <w:proofErr w:type="spellStart"/>
      <w:r w:rsidRPr="006D0E4A">
        <w:rPr>
          <w:rFonts w:ascii="Arial" w:hAnsi="Arial" w:cs="Arial"/>
          <w:sz w:val="22"/>
          <w:szCs w:val="22"/>
        </w:rPr>
        <w:t>Kriesche</w:t>
      </w:r>
      <w:proofErr w:type="spellEnd"/>
      <w:r w:rsidRPr="006D0E4A">
        <w:rPr>
          <w:rFonts w:ascii="Arial" w:hAnsi="Arial" w:cs="Arial"/>
          <w:sz w:val="22"/>
          <w:szCs w:val="22"/>
        </w:rPr>
        <w:t>, Herwig-Ulf</w:t>
      </w:r>
      <w:r w:rsidRPr="006D0E4A">
        <w:rPr>
          <w:rFonts w:ascii="Arial" w:hAnsi="Arial" w:cs="Arial"/>
          <w:sz w:val="22"/>
          <w:szCs w:val="22"/>
          <w:vertAlign w:val="superscript"/>
        </w:rPr>
        <w:t>5</w:t>
      </w:r>
      <w:r w:rsidRPr="006D0E4A">
        <w:rPr>
          <w:rStyle w:val="ej-keyword"/>
          <w:rFonts w:ascii="Arial" w:hAnsi="Arial" w:cs="Arial"/>
          <w:sz w:val="22"/>
          <w:szCs w:val="22"/>
        </w:rPr>
        <w:t>Transplantation</w:t>
      </w:r>
      <w:r w:rsidRPr="006D0E4A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6D0E4A">
          <w:rPr>
            <w:rStyle w:val="Hyperlink"/>
            <w:rFonts w:ascii="Arial" w:hAnsi="Arial" w:cs="Arial"/>
            <w:sz w:val="22"/>
            <w:szCs w:val="22"/>
          </w:rPr>
          <w:t>August 15th, 2014 - Volume 98 - Issue 3 - p 306-311</w:t>
        </w:r>
      </w:hyperlink>
    </w:p>
    <w:p w14:paraId="1630B14A" w14:textId="77777777" w:rsidR="003B406B" w:rsidRPr="006D0E4A" w:rsidRDefault="003B406B" w:rsidP="003B406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</w:p>
    <w:p w14:paraId="4C1C9072" w14:textId="4E2E362E" w:rsidR="00A973EE" w:rsidRPr="006065BF" w:rsidRDefault="005E39CF" w:rsidP="00D82ADA">
      <w:pPr>
        <w:rPr>
          <w:rFonts w:ascii="Arial" w:hAnsi="Arial" w:cs="Arial"/>
          <w:bCs/>
          <w:sz w:val="20"/>
          <w:szCs w:val="20"/>
        </w:rPr>
      </w:pPr>
      <w:r w:rsidRPr="006D0E4A">
        <w:rPr>
          <w:rFonts w:ascii="Arial" w:hAnsi="Arial" w:cs="Arial"/>
          <w:b/>
          <w:sz w:val="20"/>
          <w:szCs w:val="20"/>
          <w:u w:val="single"/>
        </w:rPr>
        <w:t>KEY WORDS</w:t>
      </w:r>
      <w:r w:rsidR="006065BF" w:rsidRPr="006065BF">
        <w:rPr>
          <w:rFonts w:ascii="Arial" w:hAnsi="Arial" w:cs="Arial"/>
          <w:bCs/>
          <w:sz w:val="22"/>
          <w:szCs w:val="22"/>
        </w:rPr>
        <w:t>:  N/A</w:t>
      </w:r>
    </w:p>
    <w:p w14:paraId="5C17203A" w14:textId="77777777" w:rsidR="006F1E72" w:rsidRPr="006D0E4A" w:rsidRDefault="006F1E72" w:rsidP="00D82ADA">
      <w:pPr>
        <w:rPr>
          <w:rFonts w:ascii="Arial" w:hAnsi="Arial" w:cs="Arial"/>
          <w:b/>
          <w:sz w:val="20"/>
          <w:szCs w:val="20"/>
          <w:u w:val="single"/>
        </w:rPr>
      </w:pPr>
    </w:p>
    <w:sectPr w:rsidR="006F1E72" w:rsidRPr="006D0E4A" w:rsidSect="00D82AD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0EFC" w14:textId="77777777" w:rsidR="00557C9A" w:rsidRDefault="00557C9A" w:rsidP="00401E3E">
      <w:r>
        <w:separator/>
      </w:r>
    </w:p>
  </w:endnote>
  <w:endnote w:type="continuationSeparator" w:id="0">
    <w:p w14:paraId="2C53D7B8" w14:textId="77777777" w:rsidR="00557C9A" w:rsidRDefault="00557C9A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6A08E40B" w:rsidR="00480796" w:rsidRPr="00DA4759" w:rsidRDefault="00396D77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DA4759">
      <w:rPr>
        <w:rFonts w:ascii="Arial" w:hAnsi="Arial" w:cs="Arial"/>
        <w:sz w:val="16"/>
        <w:szCs w:val="16"/>
      </w:rPr>
      <w:t>Management of Patients with Failed Kidney Allograft</w:t>
    </w:r>
    <w:r w:rsidR="00480796" w:rsidRPr="00DA4759">
      <w:rPr>
        <w:rFonts w:ascii="Arial" w:hAnsi="Arial" w:cs="Arial"/>
        <w:sz w:val="16"/>
        <w:szCs w:val="16"/>
      </w:rPr>
      <w:tab/>
    </w:r>
    <w:r w:rsidR="00480796" w:rsidRPr="00DA4759">
      <w:rPr>
        <w:rFonts w:ascii="Arial" w:hAnsi="Arial" w:cs="Arial"/>
        <w:sz w:val="16"/>
      </w:rPr>
      <w:fldChar w:fldCharType="begin"/>
    </w:r>
    <w:r w:rsidR="00480796" w:rsidRPr="00DA4759">
      <w:rPr>
        <w:rFonts w:ascii="Arial" w:hAnsi="Arial" w:cs="Arial"/>
        <w:sz w:val="16"/>
      </w:rPr>
      <w:instrText xml:space="preserve"> PAGE  \* MERGEFORMAT </w:instrText>
    </w:r>
    <w:r w:rsidR="00480796" w:rsidRPr="00DA4759">
      <w:rPr>
        <w:rFonts w:ascii="Arial" w:hAnsi="Arial" w:cs="Arial"/>
        <w:sz w:val="16"/>
      </w:rPr>
      <w:fldChar w:fldCharType="separate"/>
    </w:r>
    <w:r w:rsidR="00BE0648" w:rsidRPr="00DA4759">
      <w:rPr>
        <w:rFonts w:ascii="Arial" w:hAnsi="Arial" w:cs="Arial"/>
        <w:noProof/>
        <w:sz w:val="16"/>
      </w:rPr>
      <w:t>1</w:t>
    </w:r>
    <w:r w:rsidR="00480796" w:rsidRPr="00DA4759">
      <w:rPr>
        <w:rFonts w:ascii="Arial" w:hAnsi="Arial" w:cs="Arial"/>
        <w:sz w:val="16"/>
      </w:rPr>
      <w:fldChar w:fldCharType="end"/>
    </w:r>
    <w:r w:rsidR="00480796" w:rsidRPr="00DA4759">
      <w:rPr>
        <w:rFonts w:ascii="Arial" w:hAnsi="Arial" w:cs="Arial"/>
        <w:sz w:val="16"/>
      </w:rPr>
      <w:t xml:space="preserve"> of </w:t>
    </w:r>
    <w:r w:rsidR="00480796" w:rsidRPr="00DA4759">
      <w:rPr>
        <w:rFonts w:ascii="Arial" w:hAnsi="Arial" w:cs="Arial"/>
        <w:sz w:val="16"/>
      </w:rPr>
      <w:fldChar w:fldCharType="begin"/>
    </w:r>
    <w:r w:rsidR="00480796" w:rsidRPr="00DA4759">
      <w:rPr>
        <w:rFonts w:ascii="Arial" w:hAnsi="Arial" w:cs="Arial"/>
        <w:sz w:val="16"/>
      </w:rPr>
      <w:instrText xml:space="preserve"> NUMPAGES  \* MERGEFORMAT </w:instrText>
    </w:r>
    <w:r w:rsidR="00480796" w:rsidRPr="00DA4759">
      <w:rPr>
        <w:rFonts w:ascii="Arial" w:hAnsi="Arial" w:cs="Arial"/>
        <w:sz w:val="16"/>
      </w:rPr>
      <w:fldChar w:fldCharType="separate"/>
    </w:r>
    <w:r w:rsidR="00BE0648" w:rsidRPr="00DA4759">
      <w:rPr>
        <w:rFonts w:ascii="Arial" w:hAnsi="Arial" w:cs="Arial"/>
        <w:noProof/>
        <w:sz w:val="16"/>
      </w:rPr>
      <w:t>3</w:t>
    </w:r>
    <w:r w:rsidR="00480796" w:rsidRPr="00DA475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40D3" w14:textId="77777777" w:rsidR="00557C9A" w:rsidRDefault="00557C9A" w:rsidP="00401E3E">
      <w:r>
        <w:separator/>
      </w:r>
    </w:p>
  </w:footnote>
  <w:footnote w:type="continuationSeparator" w:id="0">
    <w:p w14:paraId="011105C2" w14:textId="77777777" w:rsidR="00557C9A" w:rsidRDefault="00557C9A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20F036"/>
    <w:lvl w:ilvl="0">
      <w:numFmt w:val="bullet"/>
      <w:lvlText w:val="*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35E6"/>
    <w:multiLevelType w:val="hybridMultilevel"/>
    <w:tmpl w:val="C9AA1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A17774"/>
    <w:multiLevelType w:val="hybridMultilevel"/>
    <w:tmpl w:val="DE2820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8C2625"/>
    <w:multiLevelType w:val="hybridMultilevel"/>
    <w:tmpl w:val="64D4886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7B"/>
    <w:multiLevelType w:val="hybridMultilevel"/>
    <w:tmpl w:val="5552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E5D"/>
    <w:multiLevelType w:val="hybridMultilevel"/>
    <w:tmpl w:val="1D3A8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B10BB"/>
    <w:multiLevelType w:val="hybridMultilevel"/>
    <w:tmpl w:val="444212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B2458D9"/>
    <w:multiLevelType w:val="hybridMultilevel"/>
    <w:tmpl w:val="8648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6173"/>
    <w:multiLevelType w:val="hybridMultilevel"/>
    <w:tmpl w:val="D0B8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7E4E"/>
    <w:multiLevelType w:val="hybridMultilevel"/>
    <w:tmpl w:val="907A0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07445"/>
    <w:multiLevelType w:val="hybridMultilevel"/>
    <w:tmpl w:val="7A9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A7F"/>
    <w:multiLevelType w:val="hybridMultilevel"/>
    <w:tmpl w:val="53CE9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5179E6"/>
    <w:multiLevelType w:val="hybridMultilevel"/>
    <w:tmpl w:val="DE4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0C71"/>
    <w:multiLevelType w:val="hybridMultilevel"/>
    <w:tmpl w:val="E684E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66EBD"/>
    <w:multiLevelType w:val="hybridMultilevel"/>
    <w:tmpl w:val="3F4E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148DC"/>
    <w:multiLevelType w:val="hybridMultilevel"/>
    <w:tmpl w:val="00B6A048"/>
    <w:lvl w:ilvl="0" w:tplc="56F08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E5682"/>
    <w:multiLevelType w:val="hybridMultilevel"/>
    <w:tmpl w:val="F8BE2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AC0"/>
    <w:multiLevelType w:val="hybridMultilevel"/>
    <w:tmpl w:val="E668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4548"/>
    <w:multiLevelType w:val="hybridMultilevel"/>
    <w:tmpl w:val="5944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5F3DFB"/>
    <w:multiLevelType w:val="hybridMultilevel"/>
    <w:tmpl w:val="32C2C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CC2760"/>
    <w:multiLevelType w:val="hybridMultilevel"/>
    <w:tmpl w:val="A28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35A65"/>
    <w:multiLevelType w:val="hybridMultilevel"/>
    <w:tmpl w:val="4C26C1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F00E6"/>
    <w:multiLevelType w:val="hybridMultilevel"/>
    <w:tmpl w:val="B598F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A2E24"/>
    <w:multiLevelType w:val="hybridMultilevel"/>
    <w:tmpl w:val="A718E9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E60EEE"/>
    <w:multiLevelType w:val="hybridMultilevel"/>
    <w:tmpl w:val="E66C4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137394"/>
    <w:multiLevelType w:val="hybridMultilevel"/>
    <w:tmpl w:val="AEEE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46DC9"/>
    <w:multiLevelType w:val="hybridMultilevel"/>
    <w:tmpl w:val="9FD0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20581"/>
    <w:multiLevelType w:val="hybridMultilevel"/>
    <w:tmpl w:val="BF76AC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A170BDF"/>
    <w:multiLevelType w:val="hybridMultilevel"/>
    <w:tmpl w:val="BF8E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AD3A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0"/>
  </w:num>
  <w:num w:numId="4">
    <w:abstractNumId w:val="9"/>
  </w:num>
  <w:num w:numId="5">
    <w:abstractNumId w:val="42"/>
  </w:num>
  <w:num w:numId="6">
    <w:abstractNumId w:val="12"/>
  </w:num>
  <w:num w:numId="7">
    <w:abstractNumId w:val="22"/>
  </w:num>
  <w:num w:numId="8">
    <w:abstractNumId w:val="32"/>
  </w:num>
  <w:num w:numId="9">
    <w:abstractNumId w:val="39"/>
  </w:num>
  <w:num w:numId="10">
    <w:abstractNumId w:val="36"/>
  </w:num>
  <w:num w:numId="11">
    <w:abstractNumId w:val="17"/>
  </w:num>
  <w:num w:numId="12">
    <w:abstractNumId w:val="24"/>
  </w:num>
  <w:num w:numId="13">
    <w:abstractNumId w:val="15"/>
  </w:num>
  <w:num w:numId="14">
    <w:abstractNumId w:val="18"/>
  </w:num>
  <w:num w:numId="15">
    <w:abstractNumId w:val="11"/>
  </w:num>
  <w:num w:numId="16">
    <w:abstractNumId w:val="31"/>
  </w:num>
  <w:num w:numId="17">
    <w:abstractNumId w:val="23"/>
  </w:num>
  <w:num w:numId="18">
    <w:abstractNumId w:val="29"/>
  </w:num>
  <w:num w:numId="19">
    <w:abstractNumId w:val="34"/>
  </w:num>
  <w:num w:numId="20">
    <w:abstractNumId w:val="26"/>
  </w:num>
  <w:num w:numId="21">
    <w:abstractNumId w:val="14"/>
  </w:num>
  <w:num w:numId="22">
    <w:abstractNumId w:val="28"/>
  </w:num>
  <w:num w:numId="23">
    <w:abstractNumId w:val="19"/>
  </w:num>
  <w:num w:numId="24">
    <w:abstractNumId w:val="3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38"/>
  </w:num>
  <w:num w:numId="27">
    <w:abstractNumId w:val="5"/>
  </w:num>
  <w:num w:numId="28">
    <w:abstractNumId w:val="2"/>
  </w:num>
  <w:num w:numId="29">
    <w:abstractNumId w:val="13"/>
  </w:num>
  <w:num w:numId="30">
    <w:abstractNumId w:val="20"/>
  </w:num>
  <w:num w:numId="31">
    <w:abstractNumId w:val="21"/>
  </w:num>
  <w:num w:numId="32">
    <w:abstractNumId w:val="8"/>
  </w:num>
  <w:num w:numId="33">
    <w:abstractNumId w:val="30"/>
  </w:num>
  <w:num w:numId="34">
    <w:abstractNumId w:val="27"/>
  </w:num>
  <w:num w:numId="35">
    <w:abstractNumId w:val="25"/>
  </w:num>
  <w:num w:numId="36">
    <w:abstractNumId w:val="41"/>
  </w:num>
  <w:num w:numId="37">
    <w:abstractNumId w:val="16"/>
  </w:num>
  <w:num w:numId="38">
    <w:abstractNumId w:val="40"/>
  </w:num>
  <w:num w:numId="39">
    <w:abstractNumId w:val="7"/>
  </w:num>
  <w:num w:numId="40">
    <w:abstractNumId w:val="4"/>
  </w:num>
  <w:num w:numId="41">
    <w:abstractNumId w:val="33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37C0E"/>
    <w:rsid w:val="000402D1"/>
    <w:rsid w:val="00045E70"/>
    <w:rsid w:val="00047593"/>
    <w:rsid w:val="00061A36"/>
    <w:rsid w:val="00061DDA"/>
    <w:rsid w:val="0007395E"/>
    <w:rsid w:val="0008689D"/>
    <w:rsid w:val="00090453"/>
    <w:rsid w:val="000A26AC"/>
    <w:rsid w:val="000B2B8C"/>
    <w:rsid w:val="000C5CA1"/>
    <w:rsid w:val="000E1C9A"/>
    <w:rsid w:val="000E25CF"/>
    <w:rsid w:val="000E6894"/>
    <w:rsid w:val="000E7E6C"/>
    <w:rsid w:val="000F44CA"/>
    <w:rsid w:val="000F530B"/>
    <w:rsid w:val="00114E10"/>
    <w:rsid w:val="00120DE3"/>
    <w:rsid w:val="00132810"/>
    <w:rsid w:val="00150BDD"/>
    <w:rsid w:val="001644D7"/>
    <w:rsid w:val="001713CF"/>
    <w:rsid w:val="00177F9C"/>
    <w:rsid w:val="0018574A"/>
    <w:rsid w:val="001864B9"/>
    <w:rsid w:val="0019168D"/>
    <w:rsid w:val="001921CD"/>
    <w:rsid w:val="001A3E74"/>
    <w:rsid w:val="001A6C84"/>
    <w:rsid w:val="001B714A"/>
    <w:rsid w:val="001C463A"/>
    <w:rsid w:val="001C53F2"/>
    <w:rsid w:val="001F2AA5"/>
    <w:rsid w:val="001F3959"/>
    <w:rsid w:val="001F57BC"/>
    <w:rsid w:val="00200E52"/>
    <w:rsid w:val="00213EA3"/>
    <w:rsid w:val="002279E2"/>
    <w:rsid w:val="00233309"/>
    <w:rsid w:val="00246CC9"/>
    <w:rsid w:val="0025127C"/>
    <w:rsid w:val="00256706"/>
    <w:rsid w:val="002748A1"/>
    <w:rsid w:val="00280080"/>
    <w:rsid w:val="002B4FA2"/>
    <w:rsid w:val="002B7CBA"/>
    <w:rsid w:val="002C25CB"/>
    <w:rsid w:val="002C4BB0"/>
    <w:rsid w:val="002D108E"/>
    <w:rsid w:val="002E271B"/>
    <w:rsid w:val="002F0BD6"/>
    <w:rsid w:val="002F4093"/>
    <w:rsid w:val="002F6E47"/>
    <w:rsid w:val="0030009A"/>
    <w:rsid w:val="00332EBE"/>
    <w:rsid w:val="00333E04"/>
    <w:rsid w:val="00336321"/>
    <w:rsid w:val="00363A7C"/>
    <w:rsid w:val="00382155"/>
    <w:rsid w:val="00393227"/>
    <w:rsid w:val="00396D77"/>
    <w:rsid w:val="003A3D93"/>
    <w:rsid w:val="003A4628"/>
    <w:rsid w:val="003B406B"/>
    <w:rsid w:val="003B5761"/>
    <w:rsid w:val="003B7ECF"/>
    <w:rsid w:val="003C28C8"/>
    <w:rsid w:val="003C503D"/>
    <w:rsid w:val="003E6AFD"/>
    <w:rsid w:val="00401E3E"/>
    <w:rsid w:val="004126E0"/>
    <w:rsid w:val="00416B26"/>
    <w:rsid w:val="0042406C"/>
    <w:rsid w:val="0043740C"/>
    <w:rsid w:val="0044456F"/>
    <w:rsid w:val="004452BE"/>
    <w:rsid w:val="00447AEB"/>
    <w:rsid w:val="00464DDC"/>
    <w:rsid w:val="00480796"/>
    <w:rsid w:val="004825AD"/>
    <w:rsid w:val="00491E3A"/>
    <w:rsid w:val="00495C9F"/>
    <w:rsid w:val="004B1E9F"/>
    <w:rsid w:val="004B4F03"/>
    <w:rsid w:val="004C0BC9"/>
    <w:rsid w:val="004C3ABC"/>
    <w:rsid w:val="004D4280"/>
    <w:rsid w:val="004E303E"/>
    <w:rsid w:val="004F5C60"/>
    <w:rsid w:val="005020B3"/>
    <w:rsid w:val="005071C2"/>
    <w:rsid w:val="00512C68"/>
    <w:rsid w:val="00557C9A"/>
    <w:rsid w:val="00576F37"/>
    <w:rsid w:val="005774E0"/>
    <w:rsid w:val="005819A1"/>
    <w:rsid w:val="00583551"/>
    <w:rsid w:val="00584732"/>
    <w:rsid w:val="005B1EA3"/>
    <w:rsid w:val="005C2106"/>
    <w:rsid w:val="005C616C"/>
    <w:rsid w:val="005D7730"/>
    <w:rsid w:val="005E39CF"/>
    <w:rsid w:val="005E7E1D"/>
    <w:rsid w:val="00603A28"/>
    <w:rsid w:val="00606295"/>
    <w:rsid w:val="006065BF"/>
    <w:rsid w:val="00614208"/>
    <w:rsid w:val="00614AEB"/>
    <w:rsid w:val="00633FB9"/>
    <w:rsid w:val="00661372"/>
    <w:rsid w:val="006820DD"/>
    <w:rsid w:val="00687B94"/>
    <w:rsid w:val="0069217D"/>
    <w:rsid w:val="006A43BE"/>
    <w:rsid w:val="006B097D"/>
    <w:rsid w:val="006C0A8F"/>
    <w:rsid w:val="006C6E99"/>
    <w:rsid w:val="006D0E4A"/>
    <w:rsid w:val="006D430A"/>
    <w:rsid w:val="006D5E09"/>
    <w:rsid w:val="006E1DF5"/>
    <w:rsid w:val="006E2CC2"/>
    <w:rsid w:val="006E75BD"/>
    <w:rsid w:val="006F1E72"/>
    <w:rsid w:val="006F2177"/>
    <w:rsid w:val="006F63C5"/>
    <w:rsid w:val="007065FD"/>
    <w:rsid w:val="00707FEE"/>
    <w:rsid w:val="00710AFA"/>
    <w:rsid w:val="00713C08"/>
    <w:rsid w:val="00715B6F"/>
    <w:rsid w:val="00726AD0"/>
    <w:rsid w:val="00734CC6"/>
    <w:rsid w:val="00742906"/>
    <w:rsid w:val="00757FDD"/>
    <w:rsid w:val="00760338"/>
    <w:rsid w:val="007717EB"/>
    <w:rsid w:val="0077210A"/>
    <w:rsid w:val="00785577"/>
    <w:rsid w:val="0079159D"/>
    <w:rsid w:val="007C306F"/>
    <w:rsid w:val="007D270D"/>
    <w:rsid w:val="007D511F"/>
    <w:rsid w:val="00814D3F"/>
    <w:rsid w:val="008241EB"/>
    <w:rsid w:val="00835597"/>
    <w:rsid w:val="00852000"/>
    <w:rsid w:val="008533B4"/>
    <w:rsid w:val="008649EC"/>
    <w:rsid w:val="00865A00"/>
    <w:rsid w:val="008714E5"/>
    <w:rsid w:val="00875DA7"/>
    <w:rsid w:val="00876A5B"/>
    <w:rsid w:val="00877522"/>
    <w:rsid w:val="008775FB"/>
    <w:rsid w:val="0089061D"/>
    <w:rsid w:val="008D7768"/>
    <w:rsid w:val="009006C3"/>
    <w:rsid w:val="009039A5"/>
    <w:rsid w:val="009604D2"/>
    <w:rsid w:val="00963E08"/>
    <w:rsid w:val="00985981"/>
    <w:rsid w:val="00993900"/>
    <w:rsid w:val="009A336F"/>
    <w:rsid w:val="009F5419"/>
    <w:rsid w:val="00A03BB9"/>
    <w:rsid w:val="00A06C33"/>
    <w:rsid w:val="00A12191"/>
    <w:rsid w:val="00A37CE8"/>
    <w:rsid w:val="00A42845"/>
    <w:rsid w:val="00A62B81"/>
    <w:rsid w:val="00A70CF6"/>
    <w:rsid w:val="00A764A1"/>
    <w:rsid w:val="00A8020D"/>
    <w:rsid w:val="00A84102"/>
    <w:rsid w:val="00A85449"/>
    <w:rsid w:val="00A96893"/>
    <w:rsid w:val="00A973EE"/>
    <w:rsid w:val="00AC6F43"/>
    <w:rsid w:val="00AE1A4C"/>
    <w:rsid w:val="00B10657"/>
    <w:rsid w:val="00B12866"/>
    <w:rsid w:val="00B151A5"/>
    <w:rsid w:val="00B27450"/>
    <w:rsid w:val="00B31CF9"/>
    <w:rsid w:val="00B33F1F"/>
    <w:rsid w:val="00B40CE2"/>
    <w:rsid w:val="00B4526C"/>
    <w:rsid w:val="00B511E5"/>
    <w:rsid w:val="00B7134E"/>
    <w:rsid w:val="00B73833"/>
    <w:rsid w:val="00B84D55"/>
    <w:rsid w:val="00BB54CF"/>
    <w:rsid w:val="00BB7107"/>
    <w:rsid w:val="00BB723E"/>
    <w:rsid w:val="00BC1E83"/>
    <w:rsid w:val="00BE0648"/>
    <w:rsid w:val="00BE1C28"/>
    <w:rsid w:val="00BF3DB6"/>
    <w:rsid w:val="00C05CA7"/>
    <w:rsid w:val="00C07430"/>
    <w:rsid w:val="00C110FD"/>
    <w:rsid w:val="00C20367"/>
    <w:rsid w:val="00C23840"/>
    <w:rsid w:val="00C30C5D"/>
    <w:rsid w:val="00C440BB"/>
    <w:rsid w:val="00C44324"/>
    <w:rsid w:val="00C459DD"/>
    <w:rsid w:val="00C63542"/>
    <w:rsid w:val="00C72CB5"/>
    <w:rsid w:val="00C7404A"/>
    <w:rsid w:val="00C85288"/>
    <w:rsid w:val="00C85AB2"/>
    <w:rsid w:val="00CA19BF"/>
    <w:rsid w:val="00CA4750"/>
    <w:rsid w:val="00CB7FC2"/>
    <w:rsid w:val="00CE48FB"/>
    <w:rsid w:val="00CE6EDA"/>
    <w:rsid w:val="00D23BC1"/>
    <w:rsid w:val="00D31825"/>
    <w:rsid w:val="00D328E3"/>
    <w:rsid w:val="00D3467A"/>
    <w:rsid w:val="00D653C1"/>
    <w:rsid w:val="00D72BE7"/>
    <w:rsid w:val="00D77BEA"/>
    <w:rsid w:val="00D809F4"/>
    <w:rsid w:val="00D819E2"/>
    <w:rsid w:val="00D82ADA"/>
    <w:rsid w:val="00D877F7"/>
    <w:rsid w:val="00DA4759"/>
    <w:rsid w:val="00DB0275"/>
    <w:rsid w:val="00DB6E7A"/>
    <w:rsid w:val="00DD03E3"/>
    <w:rsid w:val="00DF0384"/>
    <w:rsid w:val="00DF2719"/>
    <w:rsid w:val="00DF3D3C"/>
    <w:rsid w:val="00DF5DAD"/>
    <w:rsid w:val="00E27423"/>
    <w:rsid w:val="00E34C80"/>
    <w:rsid w:val="00E423C9"/>
    <w:rsid w:val="00E66708"/>
    <w:rsid w:val="00E738BE"/>
    <w:rsid w:val="00E768D7"/>
    <w:rsid w:val="00E90DA4"/>
    <w:rsid w:val="00E91945"/>
    <w:rsid w:val="00EB6F56"/>
    <w:rsid w:val="00EB77F7"/>
    <w:rsid w:val="00EB7DAC"/>
    <w:rsid w:val="00EC0A28"/>
    <w:rsid w:val="00ED23B3"/>
    <w:rsid w:val="00ED5894"/>
    <w:rsid w:val="00EE3AC7"/>
    <w:rsid w:val="00EE7511"/>
    <w:rsid w:val="00EF04AE"/>
    <w:rsid w:val="00EF3811"/>
    <w:rsid w:val="00EF6564"/>
    <w:rsid w:val="00F25CCE"/>
    <w:rsid w:val="00F30A83"/>
    <w:rsid w:val="00F314B8"/>
    <w:rsid w:val="00F31EFD"/>
    <w:rsid w:val="00F42056"/>
    <w:rsid w:val="00F50CD4"/>
    <w:rsid w:val="00F5301C"/>
    <w:rsid w:val="00F6614E"/>
    <w:rsid w:val="00F7188F"/>
    <w:rsid w:val="00F747D4"/>
    <w:rsid w:val="00F802BC"/>
    <w:rsid w:val="00F9095C"/>
    <w:rsid w:val="00FA31CD"/>
    <w:rsid w:val="00FD79FF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1D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DDA"/>
    <w:rPr>
      <w:b/>
      <w:bCs/>
      <w:kern w:val="36"/>
      <w:sz w:val="48"/>
      <w:szCs w:val="48"/>
    </w:rPr>
  </w:style>
  <w:style w:type="character" w:customStyle="1" w:styleId="ej-keyword">
    <w:name w:val="ej-keyword"/>
    <w:basedOn w:val="DefaultParagraphFont"/>
    <w:rsid w:val="00061DDA"/>
  </w:style>
  <w:style w:type="paragraph" w:styleId="NormalWeb">
    <w:name w:val="Normal (Web)"/>
    <w:basedOn w:val="Normal"/>
    <w:uiPriority w:val="99"/>
    <w:unhideWhenUsed/>
    <w:rsid w:val="00061DD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82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transplantjournal/toc/2014/08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514C-3C64-4A68-8CE1-6644A69B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Amin, Ruchita Prashant</cp:lastModifiedBy>
  <cp:revision>2</cp:revision>
  <cp:lastPrinted>2017-08-22T18:23:00Z</cp:lastPrinted>
  <dcterms:created xsi:type="dcterms:W3CDTF">2024-03-20T14:17:00Z</dcterms:created>
  <dcterms:modified xsi:type="dcterms:W3CDTF">2024-03-20T14:17:00Z</dcterms:modified>
</cp:coreProperties>
</file>