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3D80C" w14:textId="77777777" w:rsidR="004A0ADC" w:rsidRPr="00120DE3" w:rsidRDefault="004A0ADC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14:paraId="00567400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8E4106A" w14:textId="53EB982A" w:rsidR="00576F37" w:rsidRPr="00590D17" w:rsidRDefault="00576F37" w:rsidP="00590D17">
            <w:pPr>
              <w:rPr>
                <w:rFonts w:ascii="Arial" w:eastAsiaTheme="minorHAnsi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1F3959">
              <w:rPr>
                <w:rFonts w:ascii="Arial" w:hAnsi="Arial" w:cs="Arial"/>
                <w:b/>
              </w:rPr>
              <w:t>ROTOCOL</w:t>
            </w:r>
            <w:r w:rsidRPr="00120DE3">
              <w:rPr>
                <w:rFonts w:ascii="Arial" w:hAnsi="Arial" w:cs="Arial"/>
                <w:b/>
              </w:rPr>
              <w:t xml:space="preserve"> TITLE:</w:t>
            </w:r>
            <w:r>
              <w:rPr>
                <w:rFonts w:ascii="Arial" w:hAnsi="Arial" w:cs="Arial"/>
              </w:rPr>
              <w:t xml:space="preserve"> </w:t>
            </w:r>
            <w:r w:rsidR="006F1E72">
              <w:rPr>
                <w:rFonts w:ascii="Arial" w:hAnsi="Arial" w:cs="Arial"/>
              </w:rPr>
              <w:t xml:space="preserve"> </w:t>
            </w:r>
            <w:r w:rsidR="00C769D2" w:rsidRPr="00C769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bookmarkStart w:id="0" w:name="_GoBack"/>
            <w:r w:rsidR="0040556D">
              <w:rPr>
                <w:rFonts w:ascii="Arial" w:eastAsiaTheme="minorHAnsi" w:hAnsi="Arial" w:cs="Arial"/>
                <w:b/>
              </w:rPr>
              <w:t>COVID-19</w:t>
            </w:r>
            <w:r w:rsidR="00C769D2" w:rsidRPr="00416761">
              <w:rPr>
                <w:rFonts w:ascii="Arial" w:eastAsiaTheme="minorHAnsi" w:hAnsi="Arial" w:cs="Arial"/>
                <w:b/>
                <w:vertAlign w:val="superscript"/>
              </w:rPr>
              <w:t xml:space="preserve"> </w:t>
            </w:r>
            <w:r w:rsidR="00590D17">
              <w:rPr>
                <w:rFonts w:ascii="Arial" w:eastAsiaTheme="minorHAnsi" w:hAnsi="Arial" w:cs="Arial"/>
                <w:b/>
              </w:rPr>
              <w:t xml:space="preserve">Immunization </w:t>
            </w:r>
            <w:r w:rsidR="00C769D2" w:rsidRPr="00C769D2">
              <w:rPr>
                <w:rFonts w:ascii="Arial" w:eastAsiaTheme="minorHAnsi" w:hAnsi="Arial" w:cs="Arial"/>
                <w:b/>
              </w:rPr>
              <w:t>Guideline</w:t>
            </w:r>
            <w:r w:rsidR="0040556D">
              <w:rPr>
                <w:rFonts w:ascii="Arial" w:eastAsiaTheme="minorHAnsi" w:hAnsi="Arial" w:cs="Arial"/>
                <w:b/>
              </w:rPr>
              <w:t xml:space="preserve"> for </w:t>
            </w:r>
            <w:r w:rsidR="00E14022">
              <w:rPr>
                <w:rFonts w:ascii="Arial" w:eastAsiaTheme="minorHAnsi" w:hAnsi="Arial" w:cs="Arial"/>
                <w:b/>
              </w:rPr>
              <w:t xml:space="preserve">Kidney </w:t>
            </w:r>
            <w:r w:rsidR="0040556D">
              <w:rPr>
                <w:rFonts w:ascii="Arial" w:eastAsiaTheme="minorHAnsi" w:hAnsi="Arial" w:cs="Arial"/>
                <w:b/>
              </w:rPr>
              <w:t>Living Donor</w:t>
            </w:r>
            <w:r w:rsidR="00E14022">
              <w:rPr>
                <w:rFonts w:ascii="Arial" w:eastAsiaTheme="minorHAnsi" w:hAnsi="Arial" w:cs="Arial"/>
                <w:b/>
              </w:rPr>
              <w:t xml:space="preserve"> Candidates</w:t>
            </w:r>
            <w:bookmarkEnd w:id="0"/>
          </w:p>
        </w:tc>
      </w:tr>
      <w:tr w:rsidR="00576F37" w:rsidRPr="00120DE3" w14:paraId="610A76A7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CCE0A" w14:textId="77777777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73690549" w14:textId="2AA6E78A" w:rsidR="00FF712F" w:rsidRDefault="00A40E4D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C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1EFCBDCF" w14:textId="47286513" w:rsidR="00061A36" w:rsidRPr="00A96893" w:rsidRDefault="00A40E4D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9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C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10BF04C2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6976D74E" w14:textId="2E30342C" w:rsidR="0040556D" w:rsidRPr="00A96893" w:rsidRDefault="00A96893" w:rsidP="00A40E4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0F2EC818" w14:textId="3F74F5DD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40556D">
              <w:rPr>
                <w:rFonts w:ascii="Arial" w:hAnsi="Arial" w:cs="Arial"/>
              </w:rPr>
              <w:t>9/1/2021</w:t>
            </w:r>
          </w:p>
        </w:tc>
      </w:tr>
    </w:tbl>
    <w:p w14:paraId="0B263742" w14:textId="77777777" w:rsidR="00FD3D94" w:rsidRPr="009A7A51" w:rsidRDefault="00FD3D94" w:rsidP="001F3959">
      <w:pPr>
        <w:rPr>
          <w:rFonts w:ascii="Arial" w:hAnsi="Arial" w:cs="Arial"/>
        </w:rPr>
      </w:pPr>
    </w:p>
    <w:p w14:paraId="2893B611" w14:textId="33B8D29D" w:rsidR="006F1E72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CATEGORY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40E4D">
        <w:rPr>
          <w:rFonts w:ascii="Arial" w:hAnsi="Arial" w:cs="Arial"/>
        </w:rPr>
        <w:t>Diagnostic/Therapeutic/Preventive, Medication Guidelines</w:t>
      </w:r>
    </w:p>
    <w:p w14:paraId="7F9C8C21" w14:textId="77777777" w:rsidR="00A40E4D" w:rsidRPr="00120DE3" w:rsidRDefault="00A40E4D" w:rsidP="00D82ADA">
      <w:pPr>
        <w:rPr>
          <w:rFonts w:ascii="Arial" w:hAnsi="Arial" w:cs="Arial"/>
        </w:rPr>
      </w:pPr>
    </w:p>
    <w:p w14:paraId="6BC56343" w14:textId="1765DA4E" w:rsidR="001F3959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LEVEL</w:t>
      </w:r>
      <w:r w:rsidR="0019168D" w:rsidRPr="0019168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</w:t>
      </w:r>
      <w:r w:rsidRPr="00A40E4D">
        <w:rPr>
          <w:rFonts w:ascii="Arial" w:hAnsi="Arial" w:cs="Arial"/>
        </w:rPr>
        <w:t>Independent</w:t>
      </w:r>
    </w:p>
    <w:p w14:paraId="0E7DEB84" w14:textId="77777777" w:rsidR="00C05CA7" w:rsidRDefault="00C05CA7" w:rsidP="00D82ADA">
      <w:pPr>
        <w:rPr>
          <w:rFonts w:ascii="Arial" w:hAnsi="Arial" w:cs="Arial"/>
        </w:rPr>
      </w:pPr>
    </w:p>
    <w:p w14:paraId="0FC0E945" w14:textId="408411AB" w:rsidR="002E25F5" w:rsidRPr="002E25F5" w:rsidRDefault="001F3959" w:rsidP="002E25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CONTENT</w:t>
      </w:r>
      <w:r w:rsidR="0019168D" w:rsidRPr="0019168D">
        <w:rPr>
          <w:rFonts w:ascii="Arial" w:hAnsi="Arial" w:cs="Arial"/>
          <w:b/>
          <w:u w:val="single"/>
        </w:rPr>
        <w:t>:</w:t>
      </w:r>
      <w:r w:rsidR="002E25F5">
        <w:rPr>
          <w:rFonts w:ascii="Arial" w:hAnsi="Arial" w:cs="Arial"/>
          <w:b/>
        </w:rPr>
        <w:t xml:space="preserve">  </w:t>
      </w:r>
      <w:r w:rsidR="002E25F5" w:rsidRPr="002E25F5">
        <w:rPr>
          <w:rFonts w:ascii="Arial" w:eastAsiaTheme="minorHAnsi" w:hAnsi="Arial" w:cs="Arial"/>
          <w:sz w:val="22"/>
          <w:szCs w:val="22"/>
        </w:rPr>
        <w:t>These guidelines were developed to standardize</w:t>
      </w:r>
      <w:r w:rsidR="00737CE0">
        <w:rPr>
          <w:rFonts w:ascii="Arial" w:eastAsiaTheme="minorHAnsi" w:hAnsi="Arial" w:cs="Arial"/>
          <w:sz w:val="22"/>
          <w:szCs w:val="22"/>
        </w:rPr>
        <w:t xml:space="preserve"> the use of </w:t>
      </w:r>
      <w:r w:rsidR="00F87DA0">
        <w:rPr>
          <w:rFonts w:ascii="Arial" w:eastAsiaTheme="minorHAnsi" w:hAnsi="Arial" w:cs="Arial"/>
          <w:sz w:val="22"/>
          <w:szCs w:val="22"/>
        </w:rPr>
        <w:t xml:space="preserve">COVID-19 </w:t>
      </w:r>
      <w:r w:rsidR="002E25F5" w:rsidRPr="002E25F5">
        <w:rPr>
          <w:rFonts w:ascii="Arial" w:eastAsiaTheme="minorHAnsi" w:hAnsi="Arial" w:cs="Arial"/>
          <w:sz w:val="22"/>
          <w:szCs w:val="22"/>
        </w:rPr>
        <w:t xml:space="preserve">immunization practices across </w:t>
      </w:r>
      <w:r w:rsidR="008A7286">
        <w:rPr>
          <w:rFonts w:ascii="Arial" w:eastAsiaTheme="minorHAnsi" w:hAnsi="Arial" w:cs="Arial"/>
          <w:sz w:val="22"/>
          <w:szCs w:val="22"/>
        </w:rPr>
        <w:t xml:space="preserve">the </w:t>
      </w:r>
      <w:r w:rsidR="002E25F5" w:rsidRPr="002E25F5">
        <w:rPr>
          <w:rFonts w:ascii="Arial" w:eastAsiaTheme="minorHAnsi" w:hAnsi="Arial" w:cs="Arial"/>
          <w:sz w:val="22"/>
          <w:szCs w:val="22"/>
        </w:rPr>
        <w:t>Emory Transplant Center</w:t>
      </w:r>
      <w:r w:rsidR="0064789B">
        <w:rPr>
          <w:rFonts w:ascii="Arial" w:eastAsiaTheme="minorHAnsi" w:hAnsi="Arial" w:cs="Arial"/>
          <w:sz w:val="22"/>
          <w:szCs w:val="22"/>
        </w:rPr>
        <w:t xml:space="preserve"> and the Emory </w:t>
      </w:r>
      <w:r w:rsidR="00754823">
        <w:rPr>
          <w:rFonts w:ascii="Arial" w:eastAsiaTheme="minorHAnsi" w:hAnsi="Arial" w:cs="Arial"/>
          <w:sz w:val="22"/>
          <w:szCs w:val="22"/>
        </w:rPr>
        <w:t>kidney living donor</w:t>
      </w:r>
      <w:r w:rsidR="0064789B">
        <w:rPr>
          <w:rFonts w:ascii="Arial" w:eastAsiaTheme="minorHAnsi" w:hAnsi="Arial" w:cs="Arial"/>
          <w:sz w:val="22"/>
          <w:szCs w:val="22"/>
        </w:rPr>
        <w:t xml:space="preserve"> program</w:t>
      </w:r>
      <w:r w:rsidR="008A7286">
        <w:rPr>
          <w:rFonts w:ascii="Arial" w:eastAsiaTheme="minorHAnsi" w:hAnsi="Arial" w:cs="Arial"/>
          <w:sz w:val="22"/>
          <w:szCs w:val="22"/>
        </w:rPr>
        <w:t>.</w:t>
      </w:r>
    </w:p>
    <w:p w14:paraId="76C1A606" w14:textId="77777777" w:rsidR="002E25F5" w:rsidRDefault="002E25F5" w:rsidP="002E25F5">
      <w:pPr>
        <w:spacing w:after="160" w:line="259" w:lineRule="auto"/>
        <w:rPr>
          <w:rFonts w:ascii="Arial" w:eastAsiaTheme="minorHAnsi" w:hAnsi="Arial" w:cs="Arial"/>
          <w:sz w:val="22"/>
          <w:szCs w:val="22"/>
          <w:u w:val="single"/>
        </w:rPr>
      </w:pPr>
    </w:p>
    <w:p w14:paraId="12DE5BB1" w14:textId="21A39ACE" w:rsidR="0083248B" w:rsidRPr="0083248B" w:rsidRDefault="002E25F5" w:rsidP="003705C4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2E25F5">
        <w:rPr>
          <w:rFonts w:ascii="Arial" w:eastAsiaTheme="minorHAnsi" w:hAnsi="Arial" w:cs="Arial"/>
          <w:sz w:val="22"/>
          <w:szCs w:val="22"/>
          <w:u w:val="single"/>
        </w:rPr>
        <w:t>Background</w:t>
      </w:r>
      <w:r w:rsidRPr="002E25F5">
        <w:rPr>
          <w:rFonts w:ascii="Arial" w:eastAsiaTheme="minorHAnsi" w:hAnsi="Arial" w:cs="Arial"/>
          <w:sz w:val="22"/>
          <w:szCs w:val="22"/>
        </w:rPr>
        <w:t xml:space="preserve">: </w:t>
      </w:r>
      <w:r w:rsidR="00614EC0">
        <w:rPr>
          <w:rFonts w:ascii="Arial" w:eastAsiaTheme="minorHAnsi" w:hAnsi="Arial" w:cs="Arial"/>
          <w:sz w:val="22"/>
          <w:szCs w:val="22"/>
        </w:rPr>
        <w:t xml:space="preserve">The Emory Transplant Center has generated the following policy according to the Centers for Disease Control and Prevention </w:t>
      </w:r>
      <w:r w:rsidR="005B608A">
        <w:rPr>
          <w:rFonts w:ascii="Arial" w:eastAsiaTheme="minorHAnsi" w:hAnsi="Arial" w:cs="Arial"/>
          <w:sz w:val="22"/>
          <w:szCs w:val="22"/>
        </w:rPr>
        <w:t>recommended</w:t>
      </w:r>
      <w:hyperlink r:id="rId8" w:history="1">
        <w:r w:rsidR="00614EC0" w:rsidRPr="009045DD">
          <w:rPr>
            <w:rStyle w:val="Hyperlink"/>
            <w:rFonts w:ascii="Arial" w:eastAsiaTheme="minorHAnsi" w:hAnsi="Arial" w:cs="Arial"/>
            <w:sz w:val="22"/>
            <w:szCs w:val="22"/>
          </w:rPr>
          <w:t xml:space="preserve"> COVID-19 vaccines</w:t>
        </w:r>
      </w:hyperlink>
      <w:r w:rsidR="00614EC0">
        <w:rPr>
          <w:rFonts w:ascii="Arial" w:eastAsiaTheme="minorHAnsi" w:hAnsi="Arial" w:cs="Arial"/>
          <w:sz w:val="22"/>
          <w:szCs w:val="22"/>
        </w:rPr>
        <w:t xml:space="preserve"> which is</w:t>
      </w:r>
      <w:r w:rsidR="00614EC0" w:rsidRPr="0083248B">
        <w:rPr>
          <w:rFonts w:ascii="Arial" w:eastAsiaTheme="minorHAnsi" w:hAnsi="Arial" w:cs="Arial"/>
          <w:sz w:val="22"/>
          <w:szCs w:val="22"/>
        </w:rPr>
        <w:t xml:space="preserve"> consistent with that of many other local, regi</w:t>
      </w:r>
      <w:r w:rsidR="00614EC0">
        <w:rPr>
          <w:rFonts w:ascii="Arial" w:eastAsiaTheme="minorHAnsi" w:hAnsi="Arial" w:cs="Arial"/>
          <w:sz w:val="22"/>
          <w:szCs w:val="22"/>
        </w:rPr>
        <w:t>o</w:t>
      </w:r>
      <w:r w:rsidR="00614EC0" w:rsidRPr="0083248B">
        <w:rPr>
          <w:rFonts w:ascii="Arial" w:eastAsiaTheme="minorHAnsi" w:hAnsi="Arial" w:cs="Arial"/>
          <w:sz w:val="22"/>
          <w:szCs w:val="22"/>
        </w:rPr>
        <w:t>nal and national transplant centers.</w:t>
      </w:r>
      <w:r w:rsidR="00614EC0" w:rsidRPr="009045DD">
        <w:rPr>
          <w:rFonts w:ascii="Arial" w:eastAsiaTheme="minorHAnsi" w:hAnsi="Arial" w:cs="Arial"/>
          <w:sz w:val="22"/>
          <w:szCs w:val="22"/>
        </w:rPr>
        <w:t xml:space="preserve"> </w:t>
      </w:r>
      <w:r w:rsidR="00614EC0">
        <w:rPr>
          <w:rFonts w:ascii="Arial" w:eastAsiaTheme="minorHAnsi" w:hAnsi="Arial" w:cs="Arial"/>
          <w:sz w:val="22"/>
          <w:szCs w:val="22"/>
        </w:rPr>
        <w:t>The American Society of Transplantation</w:t>
      </w:r>
      <w:r w:rsidR="00614EC0" w:rsidRPr="0083248B">
        <w:rPr>
          <w:rFonts w:ascii="Arial" w:eastAsiaTheme="minorHAnsi" w:hAnsi="Arial" w:cs="Arial"/>
          <w:sz w:val="22"/>
          <w:szCs w:val="22"/>
        </w:rPr>
        <w:t xml:space="preserve"> recommen</w:t>
      </w:r>
      <w:r w:rsidR="00614EC0">
        <w:rPr>
          <w:rFonts w:ascii="Arial" w:eastAsiaTheme="minorHAnsi" w:hAnsi="Arial" w:cs="Arial"/>
          <w:sz w:val="22"/>
          <w:szCs w:val="22"/>
        </w:rPr>
        <w:t>ds</w:t>
      </w:r>
      <w:r w:rsidR="00614EC0" w:rsidRPr="00543D86">
        <w:rPr>
          <w:rFonts w:ascii="Arial" w:eastAsiaTheme="minorHAnsi" w:hAnsi="Arial" w:cs="Arial"/>
          <w:sz w:val="22"/>
          <w:szCs w:val="22"/>
        </w:rPr>
        <w:t xml:space="preserve"> the development of institutional policies regarding pre-transplant </w:t>
      </w:r>
      <w:r w:rsidR="00614EC0">
        <w:rPr>
          <w:rFonts w:ascii="Arial" w:eastAsiaTheme="minorHAnsi" w:hAnsi="Arial" w:cs="Arial"/>
          <w:sz w:val="22"/>
          <w:szCs w:val="22"/>
        </w:rPr>
        <w:t xml:space="preserve">COVID-19 </w:t>
      </w:r>
      <w:r w:rsidR="00614EC0" w:rsidRPr="00543D86">
        <w:rPr>
          <w:rFonts w:ascii="Arial" w:eastAsiaTheme="minorHAnsi" w:hAnsi="Arial" w:cs="Arial"/>
          <w:sz w:val="22"/>
          <w:szCs w:val="22"/>
        </w:rPr>
        <w:t xml:space="preserve">vaccination as </w:t>
      </w:r>
      <w:r w:rsidR="00614EC0">
        <w:rPr>
          <w:rFonts w:ascii="Arial" w:eastAsiaTheme="minorHAnsi" w:hAnsi="Arial" w:cs="Arial"/>
          <w:sz w:val="22"/>
          <w:szCs w:val="22"/>
        </w:rPr>
        <w:t>they</w:t>
      </w:r>
      <w:r w:rsidR="00614EC0" w:rsidRPr="00543D86">
        <w:rPr>
          <w:rFonts w:ascii="Arial" w:eastAsiaTheme="minorHAnsi" w:hAnsi="Arial" w:cs="Arial"/>
          <w:sz w:val="22"/>
          <w:szCs w:val="22"/>
        </w:rPr>
        <w:t xml:space="preserve"> believe that this is in the best interest of the transplant candidate, optimizing their chances of being safely transplanted, especially at times of greater infection prevalence.</w:t>
      </w:r>
    </w:p>
    <w:p w14:paraId="0085E819" w14:textId="419EF1E3" w:rsidR="00543D86" w:rsidRPr="00543D86" w:rsidRDefault="00543D86" w:rsidP="00B51F36">
      <w:pPr>
        <w:spacing w:after="160" w:line="259" w:lineRule="auto"/>
        <w:rPr>
          <w:rFonts w:ascii="Arial" w:eastAsiaTheme="minorHAnsi" w:hAnsi="Arial" w:cs="Arial"/>
          <w:sz w:val="22"/>
          <w:szCs w:val="22"/>
          <w:u w:val="single"/>
        </w:rPr>
      </w:pPr>
      <w:r w:rsidRPr="00543D86">
        <w:rPr>
          <w:rFonts w:ascii="Arial" w:eastAsiaTheme="minorHAnsi" w:hAnsi="Arial" w:cs="Arial"/>
          <w:sz w:val="22"/>
          <w:szCs w:val="22"/>
          <w:u w:val="single"/>
        </w:rPr>
        <w:t>Policy:</w:t>
      </w:r>
    </w:p>
    <w:p w14:paraId="5175505D" w14:textId="745FC942" w:rsidR="008C4960" w:rsidRPr="00D12D54" w:rsidRDefault="00614EC0" w:rsidP="00D12D54">
      <w:pPr>
        <w:pStyle w:val="ListParagraph"/>
        <w:numPr>
          <w:ilvl w:val="0"/>
          <w:numId w:val="16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</w:t>
      </w:r>
      <w:r w:rsidR="00543D86" w:rsidRPr="00D62957">
        <w:rPr>
          <w:rFonts w:ascii="Arial" w:eastAsiaTheme="minorHAnsi" w:hAnsi="Arial" w:cs="Arial"/>
          <w:sz w:val="22"/>
          <w:szCs w:val="22"/>
        </w:rPr>
        <w:t xml:space="preserve">ll </w:t>
      </w:r>
      <w:r w:rsidR="00E14022">
        <w:rPr>
          <w:rFonts w:ascii="Arial" w:eastAsiaTheme="minorHAnsi" w:hAnsi="Arial" w:cs="Arial"/>
          <w:sz w:val="22"/>
          <w:szCs w:val="22"/>
        </w:rPr>
        <w:t xml:space="preserve">kidney </w:t>
      </w:r>
      <w:r w:rsidR="00D62957" w:rsidRPr="00D62957">
        <w:rPr>
          <w:rFonts w:ascii="Arial" w:eastAsiaTheme="minorHAnsi" w:hAnsi="Arial" w:cs="Arial"/>
          <w:sz w:val="22"/>
          <w:szCs w:val="22"/>
        </w:rPr>
        <w:t xml:space="preserve">living donor candidates </w:t>
      </w:r>
      <w:r w:rsidR="00FD6382">
        <w:rPr>
          <w:rFonts w:ascii="Arial" w:eastAsiaTheme="minorHAnsi" w:hAnsi="Arial" w:cs="Arial"/>
          <w:sz w:val="22"/>
          <w:szCs w:val="22"/>
        </w:rPr>
        <w:t xml:space="preserve">currently </w:t>
      </w:r>
      <w:r w:rsidR="00E14022">
        <w:rPr>
          <w:rFonts w:ascii="Arial" w:eastAsiaTheme="minorHAnsi" w:hAnsi="Arial" w:cs="Arial"/>
          <w:sz w:val="22"/>
          <w:szCs w:val="22"/>
        </w:rPr>
        <w:t>approved to donate</w:t>
      </w:r>
      <w:r w:rsidR="00D62957" w:rsidRPr="00D62957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are strongly recommended</w:t>
      </w:r>
      <w:r w:rsidR="00D62957" w:rsidRPr="00D62957">
        <w:rPr>
          <w:rFonts w:ascii="Arial" w:eastAsiaTheme="minorHAnsi" w:hAnsi="Arial" w:cs="Arial"/>
          <w:sz w:val="22"/>
          <w:szCs w:val="22"/>
        </w:rPr>
        <w:t xml:space="preserve"> to </w:t>
      </w:r>
      <w:r w:rsidR="003705C4">
        <w:rPr>
          <w:rFonts w:ascii="Arial" w:eastAsiaTheme="minorHAnsi" w:hAnsi="Arial" w:cs="Arial"/>
          <w:sz w:val="22"/>
          <w:szCs w:val="22"/>
        </w:rPr>
        <w:t>complete a vaccination series against COVID-19 defined as either</w:t>
      </w:r>
      <w:r w:rsidR="00D62957" w:rsidRPr="00D62957">
        <w:rPr>
          <w:rFonts w:ascii="Arial" w:eastAsiaTheme="minorHAnsi" w:hAnsi="Arial" w:cs="Arial"/>
          <w:sz w:val="22"/>
          <w:szCs w:val="22"/>
        </w:rPr>
        <w:t xml:space="preserve"> both doses of </w:t>
      </w:r>
      <w:r w:rsidR="00FD6382">
        <w:rPr>
          <w:rFonts w:ascii="Arial" w:eastAsiaTheme="minorHAnsi" w:hAnsi="Arial" w:cs="Arial"/>
          <w:sz w:val="22"/>
          <w:szCs w:val="22"/>
        </w:rPr>
        <w:t>the Pfizer-</w:t>
      </w:r>
      <w:proofErr w:type="spellStart"/>
      <w:r w:rsidR="00FD6382">
        <w:rPr>
          <w:rFonts w:ascii="Arial" w:eastAsiaTheme="minorHAnsi" w:hAnsi="Arial" w:cs="Arial"/>
          <w:sz w:val="22"/>
          <w:szCs w:val="22"/>
        </w:rPr>
        <w:t>BioNTech</w:t>
      </w:r>
      <w:proofErr w:type="spellEnd"/>
      <w:r w:rsidR="00D62957" w:rsidRPr="00D62957">
        <w:rPr>
          <w:rFonts w:ascii="Arial" w:eastAsiaTheme="minorHAnsi" w:hAnsi="Arial" w:cs="Arial"/>
          <w:sz w:val="22"/>
          <w:szCs w:val="22"/>
        </w:rPr>
        <w:t xml:space="preserve"> or the </w:t>
      </w:r>
      <w:proofErr w:type="spellStart"/>
      <w:r w:rsidR="00D62957" w:rsidRPr="00D62957">
        <w:rPr>
          <w:rFonts w:ascii="Arial" w:eastAsiaTheme="minorHAnsi" w:hAnsi="Arial" w:cs="Arial"/>
          <w:sz w:val="22"/>
          <w:szCs w:val="22"/>
        </w:rPr>
        <w:t>Moderna</w:t>
      </w:r>
      <w:proofErr w:type="spellEnd"/>
      <w:r w:rsidR="00D62957" w:rsidRPr="00D62957">
        <w:rPr>
          <w:rFonts w:ascii="Arial" w:eastAsiaTheme="minorHAnsi" w:hAnsi="Arial" w:cs="Arial"/>
          <w:sz w:val="22"/>
          <w:szCs w:val="22"/>
        </w:rPr>
        <w:t xml:space="preserve"> COVID-19 Vaccine</w:t>
      </w:r>
      <w:r w:rsidR="003705C4">
        <w:rPr>
          <w:rFonts w:ascii="Arial" w:eastAsiaTheme="minorHAnsi" w:hAnsi="Arial" w:cs="Arial"/>
          <w:sz w:val="22"/>
          <w:szCs w:val="22"/>
        </w:rPr>
        <w:t xml:space="preserve">, or </w:t>
      </w:r>
      <w:r w:rsidR="00C26DF3">
        <w:rPr>
          <w:rFonts w:ascii="Arial" w:eastAsiaTheme="minorHAnsi" w:hAnsi="Arial" w:cs="Arial"/>
          <w:sz w:val="22"/>
          <w:szCs w:val="22"/>
        </w:rPr>
        <w:t xml:space="preserve">a </w:t>
      </w:r>
      <w:r w:rsidR="003705C4">
        <w:rPr>
          <w:rFonts w:ascii="Arial" w:eastAsiaTheme="minorHAnsi" w:hAnsi="Arial" w:cs="Arial"/>
          <w:sz w:val="22"/>
          <w:szCs w:val="22"/>
        </w:rPr>
        <w:t>single dose</w:t>
      </w:r>
      <w:r w:rsidR="00C26DF3">
        <w:rPr>
          <w:rFonts w:ascii="Arial" w:eastAsiaTheme="minorHAnsi" w:hAnsi="Arial" w:cs="Arial"/>
          <w:sz w:val="22"/>
          <w:szCs w:val="22"/>
        </w:rPr>
        <w:t xml:space="preserve"> of the </w:t>
      </w:r>
      <w:r w:rsidR="00C26DF3" w:rsidRPr="00C26DF3">
        <w:rPr>
          <w:rFonts w:ascii="Arial" w:eastAsiaTheme="minorHAnsi" w:hAnsi="Arial" w:cs="Arial"/>
          <w:sz w:val="22"/>
          <w:szCs w:val="22"/>
        </w:rPr>
        <w:t>Johnson &amp; Johnson’s Janssen (J&amp;J/Janssen) COVID-19 Vaccine</w:t>
      </w:r>
      <w:r w:rsidR="00C26DF3">
        <w:rPr>
          <w:rFonts w:ascii="Arial" w:eastAsiaTheme="minorHAnsi" w:hAnsi="Arial" w:cs="Arial"/>
          <w:sz w:val="22"/>
          <w:szCs w:val="22"/>
        </w:rPr>
        <w:t>.</w:t>
      </w:r>
      <w:r w:rsidR="00FD6382">
        <w:rPr>
          <w:rFonts w:ascii="Arial" w:eastAsiaTheme="minorHAnsi" w:hAnsi="Arial" w:cs="Arial"/>
          <w:sz w:val="22"/>
          <w:szCs w:val="22"/>
        </w:rPr>
        <w:t xml:space="preserve"> All candidates for </w:t>
      </w:r>
      <w:r w:rsidR="00E14022">
        <w:rPr>
          <w:rFonts w:ascii="Arial" w:eastAsiaTheme="minorHAnsi" w:hAnsi="Arial" w:cs="Arial"/>
          <w:sz w:val="22"/>
          <w:szCs w:val="22"/>
        </w:rPr>
        <w:t>kidney live donation</w:t>
      </w:r>
      <w:r w:rsidR="00FD6382">
        <w:rPr>
          <w:rFonts w:ascii="Arial" w:eastAsiaTheme="minorHAnsi" w:hAnsi="Arial" w:cs="Arial"/>
          <w:sz w:val="22"/>
          <w:szCs w:val="22"/>
        </w:rPr>
        <w:t xml:space="preserve"> who are undergoing evaluation </w:t>
      </w:r>
      <w:r>
        <w:rPr>
          <w:rFonts w:ascii="Arial" w:eastAsiaTheme="minorHAnsi" w:hAnsi="Arial" w:cs="Arial"/>
          <w:sz w:val="22"/>
          <w:szCs w:val="22"/>
        </w:rPr>
        <w:t>are strongly recommended to</w:t>
      </w:r>
      <w:r w:rsidR="00FD6382">
        <w:rPr>
          <w:rFonts w:ascii="Arial" w:eastAsiaTheme="minorHAnsi" w:hAnsi="Arial" w:cs="Arial"/>
          <w:sz w:val="22"/>
          <w:szCs w:val="22"/>
        </w:rPr>
        <w:t xml:space="preserve"> be vaccinated before </w:t>
      </w:r>
      <w:r w:rsidR="00E14022">
        <w:rPr>
          <w:rFonts w:ascii="Arial" w:eastAsiaTheme="minorHAnsi" w:hAnsi="Arial" w:cs="Arial"/>
          <w:sz w:val="22"/>
          <w:szCs w:val="22"/>
        </w:rPr>
        <w:t>donation</w:t>
      </w:r>
      <w:r w:rsidR="00FD6382">
        <w:rPr>
          <w:rFonts w:ascii="Arial" w:eastAsiaTheme="minorHAnsi" w:hAnsi="Arial" w:cs="Arial"/>
          <w:sz w:val="22"/>
          <w:szCs w:val="22"/>
        </w:rPr>
        <w:t>.</w:t>
      </w:r>
      <w:r w:rsidR="00E14022">
        <w:rPr>
          <w:rFonts w:ascii="Arial" w:eastAsiaTheme="minorHAnsi" w:hAnsi="Arial" w:cs="Arial"/>
          <w:sz w:val="22"/>
          <w:szCs w:val="22"/>
        </w:rPr>
        <w:t xml:space="preserve"> We strongly encourage all household members of the candidate to complete vaccination against COVID-19.</w:t>
      </w:r>
    </w:p>
    <w:p w14:paraId="27EE9DEF" w14:textId="77777777" w:rsidR="001439A8" w:rsidRPr="003705C4" w:rsidRDefault="001439A8" w:rsidP="001439A8">
      <w:pPr>
        <w:pStyle w:val="ListParagraph"/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75EF3B76" w14:textId="43835137" w:rsidR="0040556D" w:rsidRPr="00D12D54" w:rsidRDefault="00BF3081" w:rsidP="00D12D54">
      <w:pPr>
        <w:pStyle w:val="ListParagraph"/>
        <w:numPr>
          <w:ilvl w:val="0"/>
          <w:numId w:val="16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D12D54">
        <w:rPr>
          <w:rFonts w:ascii="Arial" w:eastAsiaTheme="minorHAnsi" w:hAnsi="Arial" w:cs="Arial"/>
          <w:sz w:val="22"/>
          <w:szCs w:val="22"/>
        </w:rPr>
        <w:t>Patient</w:t>
      </w:r>
      <w:r w:rsidR="008A7286" w:rsidRPr="00D12D54">
        <w:rPr>
          <w:rFonts w:ascii="Arial" w:eastAsiaTheme="minorHAnsi" w:hAnsi="Arial" w:cs="Arial"/>
          <w:sz w:val="22"/>
          <w:szCs w:val="22"/>
        </w:rPr>
        <w:t>s</w:t>
      </w:r>
      <w:r w:rsidRPr="00D12D54">
        <w:rPr>
          <w:rFonts w:ascii="Arial" w:eastAsiaTheme="minorHAnsi" w:hAnsi="Arial" w:cs="Arial"/>
          <w:sz w:val="22"/>
          <w:szCs w:val="22"/>
        </w:rPr>
        <w:t xml:space="preserve"> </w:t>
      </w:r>
      <w:r w:rsidR="002E5815" w:rsidRPr="00D12D54">
        <w:rPr>
          <w:rFonts w:ascii="Arial" w:eastAsiaTheme="minorHAnsi" w:hAnsi="Arial" w:cs="Arial"/>
          <w:sz w:val="22"/>
          <w:szCs w:val="22"/>
        </w:rPr>
        <w:t>with</w:t>
      </w:r>
      <w:r w:rsidR="00901D6C" w:rsidRPr="00D12D54">
        <w:rPr>
          <w:rFonts w:ascii="Arial" w:eastAsiaTheme="minorHAnsi" w:hAnsi="Arial" w:cs="Arial"/>
          <w:sz w:val="22"/>
          <w:szCs w:val="22"/>
        </w:rPr>
        <w:t xml:space="preserve"> allergic</w:t>
      </w:r>
      <w:r w:rsidRPr="00D12D54">
        <w:rPr>
          <w:rFonts w:ascii="Arial" w:eastAsiaTheme="minorHAnsi" w:hAnsi="Arial" w:cs="Arial"/>
          <w:sz w:val="22"/>
          <w:szCs w:val="22"/>
        </w:rPr>
        <w:t xml:space="preserve"> reaction</w:t>
      </w:r>
      <w:r w:rsidR="002E5815" w:rsidRPr="00D12D54">
        <w:rPr>
          <w:rFonts w:ascii="Arial" w:eastAsiaTheme="minorHAnsi" w:hAnsi="Arial" w:cs="Arial"/>
          <w:sz w:val="22"/>
          <w:szCs w:val="22"/>
        </w:rPr>
        <w:t>s</w:t>
      </w:r>
      <w:r w:rsidRPr="00D12D54">
        <w:rPr>
          <w:rFonts w:ascii="Arial" w:eastAsiaTheme="minorHAnsi" w:hAnsi="Arial" w:cs="Arial"/>
          <w:sz w:val="22"/>
          <w:szCs w:val="22"/>
        </w:rPr>
        <w:t xml:space="preserve"> to any component of the vaccine</w:t>
      </w:r>
      <w:r w:rsidR="00A8101E">
        <w:rPr>
          <w:rFonts w:ascii="Arial" w:eastAsiaTheme="minorHAnsi" w:hAnsi="Arial" w:cs="Arial"/>
          <w:sz w:val="22"/>
          <w:szCs w:val="22"/>
        </w:rPr>
        <w:t xml:space="preserve"> can</w:t>
      </w:r>
      <w:r w:rsidR="002E5815" w:rsidRPr="00D12D54">
        <w:rPr>
          <w:rFonts w:ascii="Arial" w:eastAsiaTheme="minorHAnsi" w:hAnsi="Arial" w:cs="Arial"/>
          <w:sz w:val="22"/>
          <w:szCs w:val="22"/>
        </w:rPr>
        <w:t xml:space="preserve"> be</w:t>
      </w:r>
      <w:r w:rsidR="00A8101E">
        <w:rPr>
          <w:rFonts w:ascii="Arial" w:eastAsiaTheme="minorHAnsi" w:hAnsi="Arial" w:cs="Arial"/>
          <w:sz w:val="22"/>
          <w:szCs w:val="22"/>
        </w:rPr>
        <w:t xml:space="preserve"> offered</w:t>
      </w:r>
      <w:r w:rsidR="002E5815" w:rsidRPr="00D12D54">
        <w:rPr>
          <w:rFonts w:ascii="Arial" w:eastAsiaTheme="minorHAnsi" w:hAnsi="Arial" w:cs="Arial"/>
          <w:sz w:val="22"/>
          <w:szCs w:val="22"/>
        </w:rPr>
        <w:t xml:space="preserve"> refer</w:t>
      </w:r>
      <w:r w:rsidR="00A8101E">
        <w:rPr>
          <w:rFonts w:ascii="Arial" w:eastAsiaTheme="minorHAnsi" w:hAnsi="Arial" w:cs="Arial"/>
          <w:sz w:val="22"/>
          <w:szCs w:val="22"/>
        </w:rPr>
        <w:t>ral</w:t>
      </w:r>
      <w:r w:rsidR="002E5815" w:rsidRPr="00D12D54">
        <w:rPr>
          <w:rFonts w:ascii="Arial" w:eastAsiaTheme="minorHAnsi" w:hAnsi="Arial" w:cs="Arial"/>
          <w:sz w:val="22"/>
          <w:szCs w:val="22"/>
        </w:rPr>
        <w:t xml:space="preserve"> to Emory Allergy-Immunology COVID Vaccine assessment clinic.</w:t>
      </w:r>
    </w:p>
    <w:p w14:paraId="3AF8C04F" w14:textId="77777777" w:rsidR="00EC6070" w:rsidRDefault="00EC6070" w:rsidP="00EC6070">
      <w:pPr>
        <w:pStyle w:val="ListParagraph"/>
        <w:spacing w:after="160" w:line="259" w:lineRule="auto"/>
        <w:ind w:left="1440"/>
        <w:rPr>
          <w:rFonts w:ascii="Arial" w:eastAsiaTheme="minorHAnsi" w:hAnsi="Arial" w:cs="Arial"/>
          <w:sz w:val="22"/>
          <w:szCs w:val="22"/>
        </w:rPr>
      </w:pPr>
    </w:p>
    <w:p w14:paraId="500B1723" w14:textId="0AC77837" w:rsidR="00EC6070" w:rsidRPr="00EC6070" w:rsidRDefault="00EC6070" w:rsidP="00EC6070">
      <w:pPr>
        <w:pStyle w:val="ListParagraph"/>
        <w:numPr>
          <w:ilvl w:val="0"/>
          <w:numId w:val="16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EC6070">
        <w:rPr>
          <w:rFonts w:ascii="Arial" w:eastAsiaTheme="minorHAnsi" w:hAnsi="Arial" w:cs="Arial"/>
          <w:sz w:val="22"/>
          <w:szCs w:val="22"/>
        </w:rPr>
        <w:t>COVID-19 vaccination is recommended for all people aged 12 years and older in the United States for the prevention of COVID-19. However, the age groups approved under B</w:t>
      </w:r>
      <w:r w:rsidR="00901D6C">
        <w:rPr>
          <w:rFonts w:ascii="Arial" w:eastAsiaTheme="minorHAnsi" w:hAnsi="Arial" w:cs="Arial"/>
          <w:sz w:val="22"/>
          <w:szCs w:val="22"/>
        </w:rPr>
        <w:t>iologics License Application</w:t>
      </w:r>
      <w:r w:rsidRPr="00EC6070">
        <w:rPr>
          <w:rFonts w:ascii="Arial" w:eastAsiaTheme="minorHAnsi" w:hAnsi="Arial" w:cs="Arial"/>
          <w:sz w:val="22"/>
          <w:szCs w:val="22"/>
        </w:rPr>
        <w:t xml:space="preserve"> or authorized under EUA to receive vaccination vary by vaccine product:</w:t>
      </w:r>
    </w:p>
    <w:p w14:paraId="5483749A" w14:textId="5644C697" w:rsidR="00EC6070" w:rsidRPr="00EC6070" w:rsidRDefault="00FD6382" w:rsidP="00EC6070">
      <w:pPr>
        <w:pStyle w:val="ListParagraph"/>
        <w:numPr>
          <w:ilvl w:val="0"/>
          <w:numId w:val="39"/>
        </w:numPr>
        <w:rPr>
          <w:rFonts w:ascii="Arial" w:eastAsiaTheme="minorHAnsi" w:hAnsi="Arial" w:cs="Arial"/>
          <w:sz w:val="22"/>
          <w:szCs w:val="22"/>
        </w:rPr>
      </w:pPr>
      <w:r w:rsidRPr="0083248B">
        <w:rPr>
          <w:rFonts w:ascii="Arial" w:eastAsiaTheme="minorHAnsi" w:hAnsi="Arial" w:cs="Arial"/>
          <w:sz w:val="22"/>
          <w:szCs w:val="22"/>
        </w:rPr>
        <w:t>Pfizer-BioNTech</w:t>
      </w:r>
      <w:r w:rsidR="00EC6070" w:rsidRPr="00EC6070">
        <w:rPr>
          <w:rFonts w:ascii="Arial" w:eastAsiaTheme="minorHAnsi" w:hAnsi="Arial" w:cs="Arial"/>
          <w:sz w:val="22"/>
          <w:szCs w:val="22"/>
        </w:rPr>
        <w:t>: persons aged ≥12 years</w:t>
      </w:r>
    </w:p>
    <w:p w14:paraId="521D1E72" w14:textId="77777777" w:rsidR="00EC6070" w:rsidRPr="00EC6070" w:rsidRDefault="00EC6070" w:rsidP="00EC6070">
      <w:pPr>
        <w:pStyle w:val="ListParagraph"/>
        <w:numPr>
          <w:ilvl w:val="0"/>
          <w:numId w:val="39"/>
        </w:numPr>
        <w:rPr>
          <w:rFonts w:ascii="Arial" w:eastAsiaTheme="minorHAnsi" w:hAnsi="Arial" w:cs="Arial"/>
          <w:sz w:val="22"/>
          <w:szCs w:val="22"/>
        </w:rPr>
      </w:pPr>
      <w:proofErr w:type="spellStart"/>
      <w:r w:rsidRPr="00EC6070">
        <w:rPr>
          <w:rFonts w:ascii="Arial" w:eastAsiaTheme="minorHAnsi" w:hAnsi="Arial" w:cs="Arial"/>
          <w:sz w:val="22"/>
          <w:szCs w:val="22"/>
        </w:rPr>
        <w:t>Moderna</w:t>
      </w:r>
      <w:proofErr w:type="spellEnd"/>
      <w:r w:rsidRPr="00EC6070">
        <w:rPr>
          <w:rFonts w:ascii="Arial" w:eastAsiaTheme="minorHAnsi" w:hAnsi="Arial" w:cs="Arial"/>
          <w:sz w:val="22"/>
          <w:szCs w:val="22"/>
        </w:rPr>
        <w:t>: persons aged ≥18 years</w:t>
      </w:r>
    </w:p>
    <w:p w14:paraId="2A992F60" w14:textId="6B47142E" w:rsidR="00085C74" w:rsidRDefault="00EC6070" w:rsidP="00901D6C">
      <w:pPr>
        <w:pStyle w:val="ListParagraph"/>
        <w:numPr>
          <w:ilvl w:val="0"/>
          <w:numId w:val="39"/>
        </w:numPr>
        <w:rPr>
          <w:rFonts w:ascii="Arial" w:eastAsiaTheme="minorHAnsi" w:hAnsi="Arial" w:cs="Arial"/>
          <w:sz w:val="22"/>
          <w:szCs w:val="22"/>
        </w:rPr>
      </w:pPr>
      <w:r w:rsidRPr="00EC6070">
        <w:rPr>
          <w:rFonts w:ascii="Arial" w:eastAsiaTheme="minorHAnsi" w:hAnsi="Arial" w:cs="Arial"/>
          <w:sz w:val="22"/>
          <w:szCs w:val="22"/>
        </w:rPr>
        <w:t>Janssen: persons aged ≥18 years</w:t>
      </w:r>
    </w:p>
    <w:p w14:paraId="20DE2BD6" w14:textId="064485CA" w:rsidR="00901D6C" w:rsidRDefault="00901D6C" w:rsidP="00901D6C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078895B6" w14:textId="0DFCB53D" w:rsidR="002662E9" w:rsidRDefault="00901D6C" w:rsidP="002662E9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Other important clinical considerations are summarized at the CDC’s website (</w:t>
      </w:r>
      <w:hyperlink r:id="rId9" w:history="1">
        <w:r w:rsidRPr="00901D6C">
          <w:rPr>
            <w:rStyle w:val="Hyperlink"/>
            <w:rFonts w:ascii="Arial" w:eastAsiaTheme="minorHAnsi" w:hAnsi="Arial" w:cs="Arial"/>
            <w:sz w:val="22"/>
            <w:szCs w:val="22"/>
          </w:rPr>
          <w:t>link</w:t>
        </w:r>
      </w:hyperlink>
      <w:r>
        <w:rPr>
          <w:rFonts w:ascii="Arial" w:eastAsiaTheme="minorHAnsi" w:hAnsi="Arial" w:cs="Arial"/>
          <w:sz w:val="22"/>
          <w:szCs w:val="22"/>
        </w:rPr>
        <w:t xml:space="preserve">). </w:t>
      </w:r>
    </w:p>
    <w:p w14:paraId="32C18ADA" w14:textId="45F88EAF" w:rsidR="0040556D" w:rsidRDefault="0040556D" w:rsidP="0040556D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5C6C6E0A" w14:textId="77777777" w:rsidR="00543B76" w:rsidRPr="00AC4BB7" w:rsidRDefault="00543B76" w:rsidP="00AC4BB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6CB46554" w14:textId="77777777" w:rsidR="006F1E72" w:rsidRPr="00120DE3" w:rsidRDefault="006F1E72" w:rsidP="00D82ADA">
      <w:pPr>
        <w:rPr>
          <w:rFonts w:ascii="Arial" w:hAnsi="Arial" w:cs="Arial"/>
        </w:rPr>
      </w:pPr>
    </w:p>
    <w:p w14:paraId="5B40F8E5" w14:textId="31656E94" w:rsidR="00A40E4D" w:rsidRPr="00A40E4D" w:rsidRDefault="00A40E4D" w:rsidP="00D82ADA">
      <w:pPr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DEFINITIONS:  </w:t>
      </w:r>
      <w:r>
        <w:rPr>
          <w:rFonts w:ascii="Arial" w:hAnsi="Arial" w:cs="Arial"/>
        </w:rPr>
        <w:t>N/A</w:t>
      </w:r>
    </w:p>
    <w:p w14:paraId="66996173" w14:textId="77777777" w:rsidR="00A40E4D" w:rsidRDefault="00A40E4D" w:rsidP="00D82ADA">
      <w:pPr>
        <w:rPr>
          <w:rFonts w:ascii="Arial" w:hAnsi="Arial" w:cs="Arial"/>
          <w:b/>
          <w:u w:val="single"/>
        </w:rPr>
      </w:pPr>
    </w:p>
    <w:p w14:paraId="5FA03B21" w14:textId="77777777" w:rsidR="00A973EE" w:rsidRDefault="00A973EE" w:rsidP="00D82ADA">
      <w:pPr>
        <w:rPr>
          <w:rFonts w:ascii="Arial" w:hAnsi="Arial" w:cs="Arial"/>
          <w:b/>
          <w:u w:val="single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21094552" w14:textId="77777777" w:rsidR="007145C9" w:rsidRDefault="007145C9" w:rsidP="00D82ADA">
      <w:pPr>
        <w:rPr>
          <w:rFonts w:ascii="Arial" w:hAnsi="Arial" w:cs="Arial"/>
          <w:b/>
          <w:u w:val="single"/>
        </w:rPr>
      </w:pPr>
    </w:p>
    <w:p w14:paraId="6E5B1958" w14:textId="0A91F64B" w:rsidR="0040556D" w:rsidRDefault="00A40E4D" w:rsidP="00AC4BB7">
      <w:pPr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</w:rPr>
      </w:pPr>
      <w:hyperlink r:id="rId10" w:history="1">
        <w:r w:rsidR="0040556D" w:rsidRPr="003A0CC4">
          <w:rPr>
            <w:rStyle w:val="Hyperlink"/>
            <w:rFonts w:ascii="Arial" w:eastAsiaTheme="minorHAnsi" w:hAnsi="Arial" w:cs="Arial"/>
            <w:sz w:val="22"/>
            <w:szCs w:val="22"/>
          </w:rPr>
          <w:t>https://www.cdc.gov/vaccines/covid-19/clinical-considerations/covid-19-vaccines-us.html</w:t>
        </w:r>
      </w:hyperlink>
    </w:p>
    <w:p w14:paraId="5BC23B52" w14:textId="27F41606" w:rsidR="0040556D" w:rsidRPr="0040556D" w:rsidRDefault="00A40E4D" w:rsidP="00AC4BB7">
      <w:pPr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</w:rPr>
      </w:pPr>
      <w:hyperlink r:id="rId11" w:history="1">
        <w:r w:rsidR="0040556D" w:rsidRPr="003A0CC4">
          <w:rPr>
            <w:rStyle w:val="Hyperlink"/>
            <w:rFonts w:ascii="Arial" w:hAnsi="Arial" w:cs="Arial"/>
            <w:sz w:val="22"/>
            <w:szCs w:val="22"/>
          </w:rPr>
          <w:t>https://www.fda.gov/news-events/press-announcements/fda-approves-first-covid-19-vaccine</w:t>
        </w:r>
      </w:hyperlink>
    </w:p>
    <w:p w14:paraId="5E3C5E43" w14:textId="397C45DC" w:rsidR="0040556D" w:rsidRPr="00A40E4D" w:rsidRDefault="00A40E4D" w:rsidP="0040556D">
      <w:pPr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rPr>
          <w:rStyle w:val="Hyperlink"/>
          <w:rFonts w:ascii="Arial" w:eastAsiaTheme="minorHAnsi" w:hAnsi="Arial" w:cs="Arial"/>
          <w:color w:val="000000"/>
          <w:sz w:val="22"/>
          <w:szCs w:val="22"/>
          <w:u w:val="none"/>
        </w:rPr>
      </w:pPr>
      <w:hyperlink r:id="rId12" w:history="1">
        <w:r w:rsidR="0040556D" w:rsidRPr="003A0CC4">
          <w:rPr>
            <w:rStyle w:val="Hyperlink"/>
            <w:rFonts w:ascii="Arial" w:eastAsiaTheme="minorHAnsi" w:hAnsi="Arial" w:cs="Arial"/>
            <w:sz w:val="22"/>
            <w:szCs w:val="22"/>
          </w:rPr>
          <w:t>https://www.fda.gov/emergency-preparedness-and-response/coronavirus-disease-2019-covid-19/moderna-covid-19-vaccine</w:t>
        </w:r>
      </w:hyperlink>
    </w:p>
    <w:p w14:paraId="1B4FEFF8" w14:textId="77777777" w:rsidR="00A40E4D" w:rsidRDefault="00A40E4D" w:rsidP="00A40E4D">
      <w:pPr>
        <w:autoSpaceDE w:val="0"/>
        <w:autoSpaceDN w:val="0"/>
        <w:adjustRightInd w:val="0"/>
        <w:spacing w:after="160" w:line="259" w:lineRule="auto"/>
        <w:rPr>
          <w:rStyle w:val="Hyperlink"/>
          <w:rFonts w:ascii="Arial" w:eastAsiaTheme="minorHAnsi" w:hAnsi="Arial" w:cs="Arial"/>
          <w:sz w:val="22"/>
          <w:szCs w:val="22"/>
        </w:rPr>
      </w:pPr>
    </w:p>
    <w:p w14:paraId="6E329A15" w14:textId="2166D2D6" w:rsidR="00A40E4D" w:rsidRPr="00A40E4D" w:rsidRDefault="00A40E4D" w:rsidP="00A40E4D">
      <w:pPr>
        <w:autoSpaceDE w:val="0"/>
        <w:autoSpaceDN w:val="0"/>
        <w:adjustRightInd w:val="0"/>
        <w:spacing w:after="160" w:line="259" w:lineRule="auto"/>
        <w:rPr>
          <w:rStyle w:val="Hyperlink"/>
          <w:rFonts w:ascii="Arial" w:eastAsiaTheme="minorHAnsi" w:hAnsi="Arial" w:cs="Arial"/>
          <w:sz w:val="22"/>
          <w:szCs w:val="22"/>
          <w:u w:val="none"/>
        </w:rPr>
      </w:pPr>
      <w:r>
        <w:rPr>
          <w:rFonts w:ascii="Arial" w:hAnsi="Arial" w:cs="Arial"/>
          <w:b/>
          <w:u w:val="single"/>
        </w:rPr>
        <w:t>KEYWORDS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COVID vaccine, living kidney donor</w:t>
      </w:r>
    </w:p>
    <w:p w14:paraId="64B5CC84" w14:textId="77777777" w:rsidR="00A40E4D" w:rsidRPr="00A40E4D" w:rsidRDefault="00A40E4D" w:rsidP="00A40E4D">
      <w:p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b/>
          <w:color w:val="000000"/>
          <w:sz w:val="22"/>
          <w:szCs w:val="22"/>
        </w:rPr>
      </w:pPr>
    </w:p>
    <w:sectPr w:rsidR="00A40E4D" w:rsidRPr="00A40E4D" w:rsidSect="00D82AD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EAE2" w14:textId="77777777" w:rsidR="003C32E9" w:rsidRDefault="003C32E9" w:rsidP="00401E3E">
      <w:r>
        <w:separator/>
      </w:r>
    </w:p>
  </w:endnote>
  <w:endnote w:type="continuationSeparator" w:id="0">
    <w:p w14:paraId="50350418" w14:textId="77777777" w:rsidR="003C32E9" w:rsidRDefault="003C32E9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TPRZ J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35803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16242E87" w14:textId="517EAA77" w:rsidR="00480796" w:rsidRPr="00246CC9" w:rsidRDefault="00A40E4D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A40E4D">
      <w:rPr>
        <w:rFonts w:ascii="Arial" w:hAnsi="Arial" w:cs="Arial"/>
        <w:sz w:val="16"/>
        <w:szCs w:val="16"/>
      </w:rPr>
      <w:t>COVID-19</w:t>
    </w:r>
    <w:r w:rsidRPr="00A40E4D">
      <w:rPr>
        <w:rFonts w:ascii="Arial" w:hAnsi="Arial" w:cs="Arial"/>
        <w:sz w:val="16"/>
        <w:szCs w:val="16"/>
        <w:vertAlign w:val="superscript"/>
      </w:rPr>
      <w:t xml:space="preserve"> </w:t>
    </w:r>
    <w:r w:rsidRPr="00A40E4D">
      <w:rPr>
        <w:rFonts w:ascii="Arial" w:hAnsi="Arial" w:cs="Arial"/>
        <w:sz w:val="16"/>
        <w:szCs w:val="16"/>
      </w:rPr>
      <w:t>Immunization Guideline for Kidney Living Donor Candidates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0CAA1" w14:textId="77777777" w:rsidR="003C32E9" w:rsidRDefault="003C32E9" w:rsidP="00401E3E">
      <w:r>
        <w:separator/>
      </w:r>
    </w:p>
  </w:footnote>
  <w:footnote w:type="continuationSeparator" w:id="0">
    <w:p w14:paraId="000EE8F1" w14:textId="77777777" w:rsidR="003C32E9" w:rsidRDefault="003C32E9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E1EB" w14:textId="77777777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8C4D79F" wp14:editId="7290CBAC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80B509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96E064"/>
    <w:multiLevelType w:val="hybridMultilevel"/>
    <w:tmpl w:val="F31AF18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8E5"/>
    <w:multiLevelType w:val="hybridMultilevel"/>
    <w:tmpl w:val="2AA0A7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3D48B0"/>
    <w:multiLevelType w:val="hybridMultilevel"/>
    <w:tmpl w:val="EAC8794A"/>
    <w:lvl w:ilvl="0" w:tplc="EBE2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6749"/>
    <w:multiLevelType w:val="hybridMultilevel"/>
    <w:tmpl w:val="5B2C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290A"/>
    <w:multiLevelType w:val="hybridMultilevel"/>
    <w:tmpl w:val="7C34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C1A90">
      <w:start w:val="5"/>
      <w:numFmt w:val="bullet"/>
      <w:lvlText w:val="•"/>
      <w:lvlJc w:val="left"/>
      <w:pPr>
        <w:ind w:left="1440" w:hanging="360"/>
      </w:pPr>
      <w:rPr>
        <w:rFonts w:ascii="Myriad Pro" w:eastAsiaTheme="minorHAnsi" w:hAnsi="Myriad Pro" w:cs="Myriad Pr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5E06"/>
    <w:multiLevelType w:val="hybridMultilevel"/>
    <w:tmpl w:val="BFD4C3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6A9D"/>
    <w:multiLevelType w:val="hybridMultilevel"/>
    <w:tmpl w:val="FC00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2908"/>
    <w:multiLevelType w:val="hybridMultilevel"/>
    <w:tmpl w:val="A9D27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1457"/>
    <w:multiLevelType w:val="hybridMultilevel"/>
    <w:tmpl w:val="59C8D47A"/>
    <w:lvl w:ilvl="0" w:tplc="F60A8D6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1500573"/>
    <w:multiLevelType w:val="hybridMultilevel"/>
    <w:tmpl w:val="9D462E08"/>
    <w:lvl w:ilvl="0" w:tplc="6664669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55D28"/>
    <w:multiLevelType w:val="hybridMultilevel"/>
    <w:tmpl w:val="416650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65991"/>
    <w:multiLevelType w:val="hybridMultilevel"/>
    <w:tmpl w:val="F996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82361"/>
    <w:multiLevelType w:val="hybridMultilevel"/>
    <w:tmpl w:val="05C0DA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A6B28"/>
    <w:multiLevelType w:val="hybridMultilevel"/>
    <w:tmpl w:val="47EC973C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7EB3740"/>
    <w:multiLevelType w:val="hybridMultilevel"/>
    <w:tmpl w:val="8026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26AE"/>
    <w:multiLevelType w:val="hybridMultilevel"/>
    <w:tmpl w:val="4246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C1469"/>
    <w:multiLevelType w:val="hybridMultilevel"/>
    <w:tmpl w:val="7E2CBAC8"/>
    <w:lvl w:ilvl="0" w:tplc="EBE2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835A0"/>
    <w:multiLevelType w:val="hybridMultilevel"/>
    <w:tmpl w:val="F396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6EA8"/>
    <w:multiLevelType w:val="hybridMultilevel"/>
    <w:tmpl w:val="EAC8794A"/>
    <w:lvl w:ilvl="0" w:tplc="EBE2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5438D"/>
    <w:multiLevelType w:val="hybridMultilevel"/>
    <w:tmpl w:val="960246BE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9CA673D"/>
    <w:multiLevelType w:val="hybridMultilevel"/>
    <w:tmpl w:val="AFA6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25D42"/>
    <w:multiLevelType w:val="multilevel"/>
    <w:tmpl w:val="E13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5648EE"/>
    <w:multiLevelType w:val="hybridMultilevel"/>
    <w:tmpl w:val="2F509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E63E1"/>
    <w:multiLevelType w:val="hybridMultilevel"/>
    <w:tmpl w:val="D60C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81EC6"/>
    <w:multiLevelType w:val="hybridMultilevel"/>
    <w:tmpl w:val="85F2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8"/>
  </w:num>
  <w:num w:numId="4">
    <w:abstractNumId w:val="7"/>
  </w:num>
  <w:num w:numId="5">
    <w:abstractNumId w:val="38"/>
  </w:num>
  <w:num w:numId="6">
    <w:abstractNumId w:val="10"/>
  </w:num>
  <w:num w:numId="7">
    <w:abstractNumId w:val="18"/>
  </w:num>
  <w:num w:numId="8">
    <w:abstractNumId w:val="32"/>
  </w:num>
  <w:num w:numId="9">
    <w:abstractNumId w:val="37"/>
  </w:num>
  <w:num w:numId="10">
    <w:abstractNumId w:val="34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4"/>
  </w:num>
  <w:num w:numId="16">
    <w:abstractNumId w:val="31"/>
  </w:num>
  <w:num w:numId="17">
    <w:abstractNumId w:val="4"/>
  </w:num>
  <w:num w:numId="18">
    <w:abstractNumId w:val="9"/>
  </w:num>
  <w:num w:numId="19">
    <w:abstractNumId w:val="27"/>
  </w:num>
  <w:num w:numId="20">
    <w:abstractNumId w:val="29"/>
  </w:num>
  <w:num w:numId="21">
    <w:abstractNumId w:val="6"/>
  </w:num>
  <w:num w:numId="22">
    <w:abstractNumId w:val="26"/>
  </w:num>
  <w:num w:numId="23">
    <w:abstractNumId w:val="2"/>
  </w:num>
  <w:num w:numId="24">
    <w:abstractNumId w:val="11"/>
  </w:num>
  <w:num w:numId="25">
    <w:abstractNumId w:val="5"/>
  </w:num>
  <w:num w:numId="26">
    <w:abstractNumId w:val="0"/>
  </w:num>
  <w:num w:numId="27">
    <w:abstractNumId w:val="19"/>
  </w:num>
  <w:num w:numId="28">
    <w:abstractNumId w:val="36"/>
  </w:num>
  <w:num w:numId="29">
    <w:abstractNumId w:val="23"/>
  </w:num>
  <w:num w:numId="30">
    <w:abstractNumId w:val="20"/>
  </w:num>
  <w:num w:numId="31">
    <w:abstractNumId w:val="28"/>
  </w:num>
  <w:num w:numId="32">
    <w:abstractNumId w:val="22"/>
  </w:num>
  <w:num w:numId="33">
    <w:abstractNumId w:val="17"/>
  </w:num>
  <w:num w:numId="34">
    <w:abstractNumId w:val="24"/>
  </w:num>
  <w:num w:numId="35">
    <w:abstractNumId w:val="13"/>
  </w:num>
  <w:num w:numId="36">
    <w:abstractNumId w:val="3"/>
  </w:num>
  <w:num w:numId="37">
    <w:abstractNumId w:val="25"/>
  </w:num>
  <w:num w:numId="38">
    <w:abstractNumId w:val="3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A"/>
    <w:rsid w:val="000045F8"/>
    <w:rsid w:val="00023D62"/>
    <w:rsid w:val="000402D1"/>
    <w:rsid w:val="00045E70"/>
    <w:rsid w:val="00061A36"/>
    <w:rsid w:val="0007395E"/>
    <w:rsid w:val="00085C74"/>
    <w:rsid w:val="0008689D"/>
    <w:rsid w:val="000B2B8C"/>
    <w:rsid w:val="000C5CA1"/>
    <w:rsid w:val="000E6894"/>
    <w:rsid w:val="000E7E6C"/>
    <w:rsid w:val="000F530B"/>
    <w:rsid w:val="00120302"/>
    <w:rsid w:val="00120DE3"/>
    <w:rsid w:val="00132810"/>
    <w:rsid w:val="001439A8"/>
    <w:rsid w:val="00150BDD"/>
    <w:rsid w:val="00160E04"/>
    <w:rsid w:val="001644D7"/>
    <w:rsid w:val="001713CF"/>
    <w:rsid w:val="0018574A"/>
    <w:rsid w:val="001864B9"/>
    <w:rsid w:val="0019168D"/>
    <w:rsid w:val="001921CD"/>
    <w:rsid w:val="00192FD9"/>
    <w:rsid w:val="001C53F2"/>
    <w:rsid w:val="001F34DF"/>
    <w:rsid w:val="001F3959"/>
    <w:rsid w:val="001F57BC"/>
    <w:rsid w:val="00214A4F"/>
    <w:rsid w:val="00233309"/>
    <w:rsid w:val="00246CC9"/>
    <w:rsid w:val="0025127C"/>
    <w:rsid w:val="00256706"/>
    <w:rsid w:val="002662E9"/>
    <w:rsid w:val="002748A1"/>
    <w:rsid w:val="002A025F"/>
    <w:rsid w:val="002A38B8"/>
    <w:rsid w:val="002D108E"/>
    <w:rsid w:val="002D6980"/>
    <w:rsid w:val="002E25F5"/>
    <w:rsid w:val="002E271B"/>
    <w:rsid w:val="002E5815"/>
    <w:rsid w:val="002F6E47"/>
    <w:rsid w:val="00333E04"/>
    <w:rsid w:val="00336321"/>
    <w:rsid w:val="003705C4"/>
    <w:rsid w:val="00382155"/>
    <w:rsid w:val="00393227"/>
    <w:rsid w:val="00397E13"/>
    <w:rsid w:val="003A4628"/>
    <w:rsid w:val="003B5761"/>
    <w:rsid w:val="003B7ECF"/>
    <w:rsid w:val="003C28C8"/>
    <w:rsid w:val="003C32E9"/>
    <w:rsid w:val="003C503D"/>
    <w:rsid w:val="003E5D1D"/>
    <w:rsid w:val="003E6AFD"/>
    <w:rsid w:val="00401E3E"/>
    <w:rsid w:val="00404E1A"/>
    <w:rsid w:val="0040556D"/>
    <w:rsid w:val="004126E0"/>
    <w:rsid w:val="00416761"/>
    <w:rsid w:val="00416B26"/>
    <w:rsid w:val="00464EA8"/>
    <w:rsid w:val="00480796"/>
    <w:rsid w:val="0049040C"/>
    <w:rsid w:val="004A0ADC"/>
    <w:rsid w:val="004A41B8"/>
    <w:rsid w:val="004B1E9F"/>
    <w:rsid w:val="004B4F03"/>
    <w:rsid w:val="004C0BC9"/>
    <w:rsid w:val="00516594"/>
    <w:rsid w:val="00543B76"/>
    <w:rsid w:val="00543D86"/>
    <w:rsid w:val="0055380E"/>
    <w:rsid w:val="00576F37"/>
    <w:rsid w:val="005819A1"/>
    <w:rsid w:val="00583551"/>
    <w:rsid w:val="00590D17"/>
    <w:rsid w:val="005B5862"/>
    <w:rsid w:val="005B608A"/>
    <w:rsid w:val="005D2E91"/>
    <w:rsid w:val="005E39CF"/>
    <w:rsid w:val="00603A28"/>
    <w:rsid w:val="00614208"/>
    <w:rsid w:val="00614AEB"/>
    <w:rsid w:val="00614EC0"/>
    <w:rsid w:val="00633FB9"/>
    <w:rsid w:val="0064789B"/>
    <w:rsid w:val="006607D6"/>
    <w:rsid w:val="006C1E04"/>
    <w:rsid w:val="006D430A"/>
    <w:rsid w:val="006E1DF5"/>
    <w:rsid w:val="006E2CC2"/>
    <w:rsid w:val="006E6386"/>
    <w:rsid w:val="006E75BD"/>
    <w:rsid w:val="006F1E72"/>
    <w:rsid w:val="006F63C5"/>
    <w:rsid w:val="00711A54"/>
    <w:rsid w:val="00713C08"/>
    <w:rsid w:val="007145C9"/>
    <w:rsid w:val="00715B6F"/>
    <w:rsid w:val="007205AA"/>
    <w:rsid w:val="00734CC6"/>
    <w:rsid w:val="00737CE0"/>
    <w:rsid w:val="00753801"/>
    <w:rsid w:val="00754823"/>
    <w:rsid w:val="00757FDD"/>
    <w:rsid w:val="00760338"/>
    <w:rsid w:val="0078403E"/>
    <w:rsid w:val="0079159D"/>
    <w:rsid w:val="007A5DC9"/>
    <w:rsid w:val="007D511F"/>
    <w:rsid w:val="007E74DA"/>
    <w:rsid w:val="00806ACC"/>
    <w:rsid w:val="00814D3F"/>
    <w:rsid w:val="008241EB"/>
    <w:rsid w:val="0083248B"/>
    <w:rsid w:val="00852000"/>
    <w:rsid w:val="00857CE9"/>
    <w:rsid w:val="00875DA7"/>
    <w:rsid w:val="0089061D"/>
    <w:rsid w:val="00891C08"/>
    <w:rsid w:val="008A7286"/>
    <w:rsid w:val="008C4960"/>
    <w:rsid w:val="008D476A"/>
    <w:rsid w:val="008D7768"/>
    <w:rsid w:val="008E6DE7"/>
    <w:rsid w:val="009006C3"/>
    <w:rsid w:val="00901D6C"/>
    <w:rsid w:val="009478B9"/>
    <w:rsid w:val="00954847"/>
    <w:rsid w:val="009604D2"/>
    <w:rsid w:val="00960D54"/>
    <w:rsid w:val="00963E08"/>
    <w:rsid w:val="0096739A"/>
    <w:rsid w:val="009A336F"/>
    <w:rsid w:val="009A7A51"/>
    <w:rsid w:val="009F5419"/>
    <w:rsid w:val="00A001D2"/>
    <w:rsid w:val="00A03BB9"/>
    <w:rsid w:val="00A23512"/>
    <w:rsid w:val="00A3360A"/>
    <w:rsid w:val="00A37CE8"/>
    <w:rsid w:val="00A40E4D"/>
    <w:rsid w:val="00A525FA"/>
    <w:rsid w:val="00A53387"/>
    <w:rsid w:val="00A576CF"/>
    <w:rsid w:val="00A8101E"/>
    <w:rsid w:val="00A85449"/>
    <w:rsid w:val="00A96893"/>
    <w:rsid w:val="00A973EE"/>
    <w:rsid w:val="00AC4BB7"/>
    <w:rsid w:val="00AE1A4C"/>
    <w:rsid w:val="00B151A5"/>
    <w:rsid w:val="00B31ECB"/>
    <w:rsid w:val="00B33F1F"/>
    <w:rsid w:val="00B41E5B"/>
    <w:rsid w:val="00B51F36"/>
    <w:rsid w:val="00B73833"/>
    <w:rsid w:val="00B84D55"/>
    <w:rsid w:val="00B9554C"/>
    <w:rsid w:val="00BA7CB8"/>
    <w:rsid w:val="00BB723E"/>
    <w:rsid w:val="00BE1C28"/>
    <w:rsid w:val="00BF3039"/>
    <w:rsid w:val="00BF3081"/>
    <w:rsid w:val="00BF3DB6"/>
    <w:rsid w:val="00C053E0"/>
    <w:rsid w:val="00C05CA7"/>
    <w:rsid w:val="00C07430"/>
    <w:rsid w:val="00C26DF3"/>
    <w:rsid w:val="00C30C5D"/>
    <w:rsid w:val="00C56C6B"/>
    <w:rsid w:val="00C769D2"/>
    <w:rsid w:val="00C85AB2"/>
    <w:rsid w:val="00CD30DA"/>
    <w:rsid w:val="00CD4C07"/>
    <w:rsid w:val="00CD6218"/>
    <w:rsid w:val="00CF3703"/>
    <w:rsid w:val="00CF4D13"/>
    <w:rsid w:val="00D12D54"/>
    <w:rsid w:val="00D22FE3"/>
    <w:rsid w:val="00D31825"/>
    <w:rsid w:val="00D328E3"/>
    <w:rsid w:val="00D33AA3"/>
    <w:rsid w:val="00D3467A"/>
    <w:rsid w:val="00D62957"/>
    <w:rsid w:val="00D653C1"/>
    <w:rsid w:val="00D73694"/>
    <w:rsid w:val="00D77BEA"/>
    <w:rsid w:val="00D82ADA"/>
    <w:rsid w:val="00D877F7"/>
    <w:rsid w:val="00D94A79"/>
    <w:rsid w:val="00DB0275"/>
    <w:rsid w:val="00DB6E7A"/>
    <w:rsid w:val="00DD03E3"/>
    <w:rsid w:val="00DE5822"/>
    <w:rsid w:val="00DF0384"/>
    <w:rsid w:val="00DF04E4"/>
    <w:rsid w:val="00DF5DAD"/>
    <w:rsid w:val="00E05DA4"/>
    <w:rsid w:val="00E14022"/>
    <w:rsid w:val="00E25614"/>
    <w:rsid w:val="00E34C80"/>
    <w:rsid w:val="00E423C9"/>
    <w:rsid w:val="00E55BD5"/>
    <w:rsid w:val="00E66421"/>
    <w:rsid w:val="00E738BE"/>
    <w:rsid w:val="00E90DA4"/>
    <w:rsid w:val="00EC0A28"/>
    <w:rsid w:val="00EC6070"/>
    <w:rsid w:val="00ED23B3"/>
    <w:rsid w:val="00ED776B"/>
    <w:rsid w:val="00EF6564"/>
    <w:rsid w:val="00F25CCE"/>
    <w:rsid w:val="00F31EFD"/>
    <w:rsid w:val="00F42056"/>
    <w:rsid w:val="00F50CD4"/>
    <w:rsid w:val="00F5301C"/>
    <w:rsid w:val="00F63567"/>
    <w:rsid w:val="00F7188F"/>
    <w:rsid w:val="00F747D4"/>
    <w:rsid w:val="00F802BC"/>
    <w:rsid w:val="00F87DA0"/>
    <w:rsid w:val="00F9095C"/>
    <w:rsid w:val="00F93127"/>
    <w:rsid w:val="00FA31CD"/>
    <w:rsid w:val="00FD3D94"/>
    <w:rsid w:val="00FD6382"/>
    <w:rsid w:val="00FF260E"/>
    <w:rsid w:val="00FF4440"/>
    <w:rsid w:val="00FF6841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C8B562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7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uiPriority w:val="99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B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1D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3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clinical-considerations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da.gov/emergency-preparedness-and-response/coronavirus-disease-2019-covid-19/moderna-covid-19-vacci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news-events/press-announcements/fda-approves-first-covid-19-vacci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vaccines/covid-19/clinical-considerations/covid-19-vaccines-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covid-19/clinical-considerations/covid-19-vaccines-us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7271-6E3D-43A1-A149-95BD419B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Beth Begley</cp:lastModifiedBy>
  <cp:revision>2</cp:revision>
  <cp:lastPrinted>2017-08-22T18:23:00Z</cp:lastPrinted>
  <dcterms:created xsi:type="dcterms:W3CDTF">2021-09-16T21:13:00Z</dcterms:created>
  <dcterms:modified xsi:type="dcterms:W3CDTF">2021-09-16T21:13:00Z</dcterms:modified>
</cp:coreProperties>
</file>