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5E19F" w14:textId="77777777" w:rsidR="00D82ADA" w:rsidRPr="00120DE3" w:rsidRDefault="00D82ADA" w:rsidP="00D82ADA">
      <w:pPr>
        <w:rPr>
          <w:rFonts w:ascii="Arial" w:hAnsi="Arial" w:cs="Arial"/>
        </w:rPr>
      </w:pPr>
    </w:p>
    <w:tbl>
      <w:tblPr>
        <w:tblStyle w:val="TableGrid"/>
        <w:tblpPr w:leftFromText="180" w:rightFromText="180" w:vertAnchor="page" w:horzAnchor="margin" w:tblpY="1742"/>
        <w:tblW w:w="5000" w:type="pct"/>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6"/>
        <w:gridCol w:w="4844"/>
      </w:tblGrid>
      <w:tr w:rsidR="00576F37" w:rsidRPr="00120DE3" w14:paraId="02E6F7D8" w14:textId="77777777" w:rsidTr="0089061D">
        <w:trPr>
          <w:trHeight w:val="702"/>
        </w:trPr>
        <w:tc>
          <w:tcPr>
            <w:tcW w:w="5000" w:type="pct"/>
            <w:gridSpan w:val="2"/>
            <w:tcBorders>
              <w:bottom w:val="single" w:sz="4" w:space="0" w:color="auto"/>
            </w:tcBorders>
          </w:tcPr>
          <w:p w14:paraId="550D8653" w14:textId="37D3ED47" w:rsidR="00576F37" w:rsidRPr="00120DE3" w:rsidRDefault="00576F37" w:rsidP="00600A30">
            <w:pPr>
              <w:spacing w:before="60"/>
              <w:rPr>
                <w:rFonts w:ascii="Arial" w:hAnsi="Arial" w:cs="Arial"/>
              </w:rPr>
            </w:pPr>
            <w:r w:rsidRPr="00120DE3">
              <w:rPr>
                <w:rFonts w:ascii="Arial" w:hAnsi="Arial" w:cs="Arial"/>
                <w:b/>
              </w:rPr>
              <w:t>P</w:t>
            </w:r>
            <w:r w:rsidR="001F3959">
              <w:rPr>
                <w:rFonts w:ascii="Arial" w:hAnsi="Arial" w:cs="Arial"/>
                <w:b/>
              </w:rPr>
              <w:t>ROTOCOL</w:t>
            </w:r>
            <w:r w:rsidRPr="00120DE3">
              <w:rPr>
                <w:rFonts w:ascii="Arial" w:hAnsi="Arial" w:cs="Arial"/>
                <w:b/>
              </w:rPr>
              <w:t xml:space="preserve"> TITLE:</w:t>
            </w:r>
            <w:r>
              <w:rPr>
                <w:rFonts w:ascii="Arial" w:hAnsi="Arial" w:cs="Arial"/>
              </w:rPr>
              <w:t xml:space="preserve"> </w:t>
            </w:r>
            <w:r w:rsidR="006F1E72">
              <w:rPr>
                <w:rFonts w:ascii="Arial" w:hAnsi="Arial" w:cs="Arial"/>
              </w:rPr>
              <w:t xml:space="preserve"> </w:t>
            </w:r>
            <w:r w:rsidR="00600A30">
              <w:rPr>
                <w:rFonts w:ascii="Arial" w:hAnsi="Arial" w:cs="Arial"/>
              </w:rPr>
              <w:t>Kidney and</w:t>
            </w:r>
            <w:r w:rsidR="00D8320A">
              <w:rPr>
                <w:rFonts w:ascii="Arial" w:hAnsi="Arial" w:cs="Arial"/>
              </w:rPr>
              <w:t xml:space="preserve"> </w:t>
            </w:r>
            <w:r w:rsidR="00451C7D">
              <w:rPr>
                <w:rFonts w:ascii="Arial" w:hAnsi="Arial" w:cs="Arial"/>
              </w:rPr>
              <w:t xml:space="preserve">Pancreas </w:t>
            </w:r>
            <w:r w:rsidR="00A879DD">
              <w:rPr>
                <w:rFonts w:ascii="Arial" w:hAnsi="Arial" w:cs="Arial"/>
              </w:rPr>
              <w:t>Post</w:t>
            </w:r>
            <w:r w:rsidR="00195DF3">
              <w:rPr>
                <w:rFonts w:ascii="Arial" w:hAnsi="Arial" w:cs="Arial"/>
              </w:rPr>
              <w:t>-transplant</w:t>
            </w:r>
            <w:r w:rsidR="00A879DD">
              <w:rPr>
                <w:rFonts w:ascii="Arial" w:hAnsi="Arial" w:cs="Arial"/>
                <w:bCs/>
              </w:rPr>
              <w:t xml:space="preserve"> </w:t>
            </w:r>
            <w:r w:rsidR="00A879DD" w:rsidRPr="00A879DD">
              <w:rPr>
                <w:rFonts w:ascii="Arial" w:hAnsi="Arial" w:cs="Arial"/>
                <w:bCs/>
              </w:rPr>
              <w:t>Card</w:t>
            </w:r>
            <w:r w:rsidR="00D8320A">
              <w:rPr>
                <w:rFonts w:ascii="Arial" w:hAnsi="Arial" w:cs="Arial"/>
                <w:bCs/>
              </w:rPr>
              <w:t>iovascular Risk Reduction</w:t>
            </w:r>
          </w:p>
        </w:tc>
      </w:tr>
      <w:tr w:rsidR="00576F37" w:rsidRPr="00120DE3" w14:paraId="4238F586" w14:textId="77777777" w:rsidTr="0089061D">
        <w:trPr>
          <w:trHeight w:val="720"/>
        </w:trPr>
        <w:tc>
          <w:tcPr>
            <w:tcW w:w="5000" w:type="pct"/>
            <w:gridSpan w:val="2"/>
            <w:tcBorders>
              <w:top w:val="single" w:sz="4" w:space="0" w:color="auto"/>
              <w:bottom w:val="single" w:sz="4" w:space="0" w:color="auto"/>
            </w:tcBorders>
          </w:tcPr>
          <w:p w14:paraId="58949F75" w14:textId="005DED12" w:rsidR="00FF712F" w:rsidRPr="00FF712F" w:rsidRDefault="00061A36" w:rsidP="00FF712F">
            <w:pPr>
              <w:tabs>
                <w:tab w:val="left" w:pos="3747"/>
              </w:tabs>
              <w:spacing w:before="60"/>
              <w:rPr>
                <w:rFonts w:ascii="Arial" w:hAnsi="Arial" w:cs="Arial"/>
                <w:b/>
              </w:rPr>
            </w:pPr>
            <w:r w:rsidRPr="00120DE3">
              <w:rPr>
                <w:rFonts w:ascii="Arial" w:hAnsi="Arial" w:cs="Arial"/>
                <w:b/>
              </w:rPr>
              <w:t>APPLICABLE FACILITIES:</w:t>
            </w:r>
          </w:p>
          <w:p w14:paraId="0818D075" w14:textId="6398D56C" w:rsidR="00FF712F" w:rsidRDefault="00D8320A" w:rsidP="00336321">
            <w:pPr>
              <w:tabs>
                <w:tab w:val="left" w:pos="1227"/>
                <w:tab w:val="left" w:pos="2487"/>
                <w:tab w:val="left" w:pos="3747"/>
                <w:tab w:val="left" w:pos="5007"/>
                <w:tab w:val="left" w:pos="6267"/>
                <w:tab w:val="left" w:pos="7707"/>
                <w:tab w:val="left" w:pos="9147"/>
              </w:tabs>
              <w:spacing w:before="60"/>
              <w:rPr>
                <w:rFonts w:ascii="Arial" w:hAnsi="Arial" w:cs="Arial"/>
                <w:sz w:val="22"/>
                <w:szCs w:val="22"/>
              </w:rPr>
            </w:pPr>
            <w:sdt>
              <w:sdtPr>
                <w:rPr>
                  <w:rFonts w:ascii="Arial" w:hAnsi="Arial" w:cs="Arial"/>
                  <w:sz w:val="22"/>
                  <w:szCs w:val="22"/>
                </w:rPr>
                <w:id w:val="-10256299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45E70" w:rsidRPr="00A37CE8">
              <w:rPr>
                <w:rFonts w:ascii="Arial" w:hAnsi="Arial" w:cs="Arial"/>
                <w:sz w:val="22"/>
                <w:szCs w:val="22"/>
              </w:rPr>
              <w:t>EHC</w:t>
            </w:r>
            <w:r w:rsidR="00FF712F">
              <w:rPr>
                <w:rFonts w:ascii="Arial" w:hAnsi="Arial" w:cs="Arial"/>
                <w:sz w:val="22"/>
                <w:szCs w:val="22"/>
              </w:rPr>
              <w:tab/>
            </w:r>
            <w:sdt>
              <w:sdtPr>
                <w:rPr>
                  <w:rFonts w:ascii="Arial" w:hAnsi="Arial" w:cs="Arial"/>
                  <w:sz w:val="22"/>
                  <w:szCs w:val="22"/>
                </w:rPr>
                <w:id w:val="-1093773083"/>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EDH</w:t>
            </w:r>
            <w:r w:rsidR="00DB0275" w:rsidRPr="00FF712F">
              <w:rPr>
                <w:rFonts w:ascii="Arial" w:hAnsi="Arial" w:cs="Arial"/>
                <w:sz w:val="22"/>
                <w:szCs w:val="22"/>
              </w:rPr>
              <w:tab/>
            </w:r>
            <w:sdt>
              <w:sdtPr>
                <w:rPr>
                  <w:rFonts w:ascii="Arial" w:hAnsi="Arial" w:cs="Arial"/>
                  <w:sz w:val="22"/>
                  <w:szCs w:val="22"/>
                </w:rPr>
                <w:id w:val="425848779"/>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EHH</w:t>
            </w:r>
            <w:r w:rsidR="00DB0275" w:rsidRPr="00FF712F">
              <w:rPr>
                <w:rFonts w:ascii="Arial" w:hAnsi="Arial" w:cs="Arial"/>
                <w:sz w:val="22"/>
                <w:szCs w:val="22"/>
              </w:rPr>
              <w:tab/>
            </w:r>
            <w:sdt>
              <w:sdtPr>
                <w:rPr>
                  <w:rFonts w:ascii="Arial" w:hAnsi="Arial" w:cs="Arial"/>
                  <w:sz w:val="22"/>
                  <w:szCs w:val="22"/>
                </w:rPr>
                <w:id w:val="738140020"/>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0B2B8C" w:rsidRPr="00FF712F">
              <w:rPr>
                <w:rFonts w:ascii="Arial" w:hAnsi="Arial" w:cs="Arial"/>
                <w:sz w:val="22"/>
                <w:szCs w:val="22"/>
              </w:rPr>
              <w:t>EHI</w:t>
            </w:r>
            <w:r w:rsidR="00DB0275" w:rsidRPr="00FF712F">
              <w:rPr>
                <w:rFonts w:ascii="Arial" w:hAnsi="Arial" w:cs="Arial"/>
                <w:sz w:val="22"/>
                <w:szCs w:val="22"/>
              </w:rPr>
              <w:tab/>
            </w:r>
            <w:sdt>
              <w:sdtPr>
                <w:rPr>
                  <w:rFonts w:ascii="Arial" w:hAnsi="Arial" w:cs="Arial"/>
                  <w:sz w:val="22"/>
                  <w:szCs w:val="22"/>
                </w:rPr>
                <w:id w:val="135892563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EHN</w:t>
            </w:r>
            <w:r w:rsidR="00DB0275" w:rsidRPr="00FF712F">
              <w:rPr>
                <w:rFonts w:ascii="Arial" w:hAnsi="Arial" w:cs="Arial"/>
                <w:sz w:val="22"/>
                <w:szCs w:val="22"/>
              </w:rPr>
              <w:tab/>
            </w:r>
            <w:sdt>
              <w:sdtPr>
                <w:rPr>
                  <w:rFonts w:ascii="Arial" w:hAnsi="Arial" w:cs="Arial"/>
                  <w:sz w:val="22"/>
                  <w:szCs w:val="22"/>
                </w:rPr>
                <w:id w:val="-2099165669"/>
                <w15:appearance w15:val="hidden"/>
                <w14:checkbox>
                  <w14:checked w14:val="0"/>
                  <w14:checkedState w14:val="2612" w14:font="MS Gothic"/>
                  <w14:uncheckedState w14:val="2610" w14:font="MS Gothic"/>
                </w14:checkbox>
              </w:sdtPr>
              <w:sdtEndPr/>
              <w:sdtContent>
                <w:r w:rsidR="00DB0275" w:rsidRPr="00FF712F">
                  <w:rPr>
                    <w:rFonts w:ascii="MS Gothic" w:eastAsia="MS Gothic" w:hAnsi="MS Gothic" w:cs="Arial" w:hint="eastAsia"/>
                    <w:sz w:val="22"/>
                    <w:szCs w:val="22"/>
                  </w:rPr>
                  <w:t>☐</w:t>
                </w:r>
              </w:sdtContent>
            </w:sdt>
            <w:r w:rsidR="001864B9">
              <w:rPr>
                <w:rFonts w:ascii="Arial" w:hAnsi="Arial" w:cs="Arial"/>
                <w:sz w:val="22"/>
                <w:szCs w:val="22"/>
              </w:rPr>
              <w:t>EJCH</w:t>
            </w:r>
            <w:r w:rsidR="00DB0275" w:rsidRPr="00FF712F">
              <w:rPr>
                <w:rFonts w:ascii="Arial" w:hAnsi="Arial" w:cs="Arial"/>
                <w:sz w:val="22"/>
                <w:szCs w:val="22"/>
              </w:rPr>
              <w:tab/>
            </w:r>
            <w:sdt>
              <w:sdtPr>
                <w:rPr>
                  <w:rFonts w:ascii="Arial" w:hAnsi="Arial" w:cs="Arial"/>
                  <w:sz w:val="22"/>
                  <w:szCs w:val="22"/>
                </w:rPr>
                <w:id w:val="393939026"/>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1864B9" w:rsidRPr="00FF712F">
              <w:rPr>
                <w:rFonts w:ascii="Arial" w:hAnsi="Arial" w:cs="Arial"/>
                <w:sz w:val="22"/>
                <w:szCs w:val="22"/>
              </w:rPr>
              <w:t>ELTAC</w:t>
            </w:r>
            <w:r w:rsidR="00DB0275" w:rsidRPr="00FF712F">
              <w:rPr>
                <w:rFonts w:ascii="Arial" w:hAnsi="Arial" w:cs="Arial"/>
                <w:sz w:val="22"/>
                <w:szCs w:val="22"/>
              </w:rPr>
              <w:tab/>
            </w:r>
            <w:sdt>
              <w:sdtPr>
                <w:rPr>
                  <w:rFonts w:ascii="Arial" w:hAnsi="Arial" w:cs="Arial"/>
                  <w:sz w:val="22"/>
                  <w:szCs w:val="22"/>
                </w:rPr>
                <w:id w:val="-691062224"/>
                <w15:appearance w15:val="hidden"/>
                <w14:checkbox>
                  <w14:checked w14:val="1"/>
                  <w14:checkedState w14:val="2612" w14:font="MS Gothic"/>
                  <w14:uncheckedState w14:val="2610" w14:font="MS Gothic"/>
                </w14:checkbox>
              </w:sdtPr>
              <w:sdtEndPr/>
              <w:sdtContent>
                <w:r w:rsidR="00451C7D">
                  <w:rPr>
                    <w:rFonts w:ascii="MS Gothic" w:eastAsia="MS Gothic" w:hAnsi="MS Gothic" w:cs="Arial" w:hint="eastAsia"/>
                    <w:sz w:val="22"/>
                    <w:szCs w:val="22"/>
                  </w:rPr>
                  <w:t>☒</w:t>
                </w:r>
              </w:sdtContent>
            </w:sdt>
            <w:r w:rsidR="001864B9">
              <w:rPr>
                <w:rFonts w:ascii="Arial" w:hAnsi="Arial" w:cs="Arial"/>
                <w:sz w:val="22"/>
                <w:szCs w:val="22"/>
              </w:rPr>
              <w:t>ESJH</w:t>
            </w:r>
          </w:p>
          <w:p w14:paraId="71BEDD34" w14:textId="36D58C88" w:rsidR="00061A36" w:rsidRPr="00A96893" w:rsidRDefault="00D8320A" w:rsidP="00336321">
            <w:pPr>
              <w:tabs>
                <w:tab w:val="left" w:pos="1227"/>
                <w:tab w:val="left" w:pos="2487"/>
                <w:tab w:val="left" w:pos="3747"/>
                <w:tab w:val="left" w:pos="5007"/>
                <w:tab w:val="left" w:pos="6267"/>
                <w:tab w:val="left" w:pos="7707"/>
                <w:tab w:val="left" w:pos="9147"/>
              </w:tabs>
              <w:spacing w:before="60"/>
              <w:rPr>
                <w:rFonts w:ascii="Arial" w:hAnsi="Arial" w:cs="Arial"/>
              </w:rPr>
            </w:pPr>
            <w:sdt>
              <w:sdtPr>
                <w:rPr>
                  <w:rFonts w:ascii="Arial" w:hAnsi="Arial" w:cs="Arial"/>
                  <w:sz w:val="22"/>
                  <w:szCs w:val="22"/>
                </w:rPr>
                <w:id w:val="584735954"/>
                <w15:appearance w15:val="hidden"/>
                <w14:checkbox>
                  <w14:checked w14:val="1"/>
                  <w14:checkedState w14:val="2612" w14:font="MS Gothic"/>
                  <w14:uncheckedState w14:val="2610" w14:font="MS Gothic"/>
                </w14:checkbox>
              </w:sdtPr>
              <w:sdtEndPr/>
              <w:sdtContent>
                <w:r w:rsidR="00451C7D">
                  <w:rPr>
                    <w:rFonts w:ascii="MS Gothic" w:eastAsia="MS Gothic" w:hAnsi="MS Gothic" w:cs="Arial" w:hint="eastAsia"/>
                    <w:sz w:val="22"/>
                    <w:szCs w:val="22"/>
                  </w:rPr>
                  <w:t>☒</w:t>
                </w:r>
              </w:sdtContent>
            </w:sdt>
            <w:r w:rsidR="000B2B8C" w:rsidRPr="00FF712F">
              <w:rPr>
                <w:rFonts w:ascii="Arial" w:hAnsi="Arial" w:cs="Arial"/>
                <w:sz w:val="22"/>
                <w:szCs w:val="22"/>
              </w:rPr>
              <w:t>E</w:t>
            </w:r>
            <w:r w:rsidR="001864B9">
              <w:rPr>
                <w:rFonts w:ascii="Arial" w:hAnsi="Arial" w:cs="Arial"/>
                <w:sz w:val="22"/>
                <w:szCs w:val="22"/>
              </w:rPr>
              <w:t>UH</w:t>
            </w:r>
            <w:r w:rsidR="00FF712F">
              <w:rPr>
                <w:rFonts w:ascii="Arial" w:hAnsi="Arial" w:cs="Arial"/>
                <w:sz w:val="22"/>
                <w:szCs w:val="22"/>
              </w:rPr>
              <w:tab/>
            </w:r>
            <w:sdt>
              <w:sdtPr>
                <w:rPr>
                  <w:rFonts w:ascii="Arial" w:hAnsi="Arial" w:cs="Arial"/>
                  <w:sz w:val="22"/>
                  <w:szCs w:val="22"/>
                </w:rPr>
                <w:id w:val="305130029"/>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EUH</w:t>
            </w:r>
            <w:r w:rsidR="001864B9">
              <w:rPr>
                <w:rFonts w:ascii="Arial" w:hAnsi="Arial" w:cs="Arial"/>
                <w:sz w:val="22"/>
                <w:szCs w:val="22"/>
              </w:rPr>
              <w:t>M</w:t>
            </w:r>
            <w:r w:rsidR="00336321">
              <w:rPr>
                <w:rFonts w:ascii="Arial" w:hAnsi="Arial" w:cs="Arial"/>
                <w:sz w:val="22"/>
                <w:szCs w:val="22"/>
              </w:rPr>
              <w:tab/>
            </w:r>
            <w:sdt>
              <w:sdtPr>
                <w:rPr>
                  <w:rFonts w:ascii="Arial" w:hAnsi="Arial" w:cs="Arial"/>
                  <w:sz w:val="22"/>
                  <w:szCs w:val="22"/>
                </w:rPr>
                <w:id w:val="1155878093"/>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336321" w:rsidRPr="00FF712F">
              <w:rPr>
                <w:rFonts w:ascii="Arial" w:hAnsi="Arial" w:cs="Arial"/>
                <w:sz w:val="22"/>
                <w:szCs w:val="22"/>
              </w:rPr>
              <w:t>EU</w:t>
            </w:r>
            <w:r w:rsidR="00336321">
              <w:rPr>
                <w:rFonts w:ascii="Arial" w:hAnsi="Arial" w:cs="Arial"/>
                <w:sz w:val="22"/>
                <w:szCs w:val="22"/>
              </w:rPr>
              <w:t>HS</w:t>
            </w:r>
            <w:r w:rsidR="00DB0275" w:rsidRPr="00FF712F">
              <w:rPr>
                <w:rFonts w:ascii="Arial" w:hAnsi="Arial" w:cs="Arial"/>
                <w:sz w:val="22"/>
                <w:szCs w:val="22"/>
              </w:rPr>
              <w:tab/>
            </w:r>
            <w:sdt>
              <w:sdtPr>
                <w:rPr>
                  <w:rFonts w:ascii="Arial" w:hAnsi="Arial" w:cs="Arial"/>
                  <w:sz w:val="22"/>
                  <w:szCs w:val="22"/>
                </w:rPr>
                <w:id w:val="-5071345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B2B8C" w:rsidRPr="00FF712F">
              <w:rPr>
                <w:rFonts w:ascii="Arial" w:hAnsi="Arial" w:cs="Arial"/>
                <w:sz w:val="22"/>
                <w:szCs w:val="22"/>
              </w:rPr>
              <w:t>EU</w:t>
            </w:r>
            <w:r w:rsidR="001864B9">
              <w:rPr>
                <w:rFonts w:ascii="Arial" w:hAnsi="Arial" w:cs="Arial"/>
                <w:sz w:val="22"/>
                <w:szCs w:val="22"/>
              </w:rPr>
              <w:t>OSH</w:t>
            </w:r>
            <w:r w:rsidR="00DB0275" w:rsidRPr="00FF712F">
              <w:rPr>
                <w:rFonts w:ascii="Arial" w:hAnsi="Arial" w:cs="Arial"/>
                <w:sz w:val="22"/>
                <w:szCs w:val="22"/>
              </w:rPr>
              <w:tab/>
            </w:r>
            <w:sdt>
              <w:sdtPr>
                <w:rPr>
                  <w:rFonts w:ascii="Arial" w:hAnsi="Arial" w:cs="Arial"/>
                  <w:sz w:val="22"/>
                  <w:szCs w:val="22"/>
                </w:rPr>
                <w:id w:val="165024632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EWWH</w:t>
            </w:r>
            <w:r w:rsidR="00D77BEA" w:rsidRPr="00FF712F">
              <w:rPr>
                <w:rFonts w:ascii="Arial" w:hAnsi="Arial" w:cs="Arial"/>
                <w:sz w:val="22"/>
                <w:szCs w:val="22"/>
              </w:rPr>
              <w:t xml:space="preserve"> </w:t>
            </w:r>
            <w:r w:rsidR="00DB0275" w:rsidRPr="00FF712F">
              <w:rPr>
                <w:rFonts w:ascii="Arial" w:hAnsi="Arial" w:cs="Arial"/>
                <w:sz w:val="22"/>
                <w:szCs w:val="22"/>
              </w:rPr>
              <w:tab/>
            </w:r>
            <w:sdt>
              <w:sdtPr>
                <w:rPr>
                  <w:rFonts w:ascii="Arial" w:hAnsi="Arial" w:cs="Arial"/>
                  <w:sz w:val="22"/>
                  <w:szCs w:val="22"/>
                </w:rPr>
                <w:id w:val="2068609820"/>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RJV-ERH</w:t>
            </w:r>
            <w:r w:rsidR="00DB0275" w:rsidRPr="00FF712F">
              <w:rPr>
                <w:rFonts w:ascii="Arial" w:hAnsi="Arial" w:cs="Arial"/>
                <w:sz w:val="22"/>
                <w:szCs w:val="22"/>
              </w:rPr>
              <w:tab/>
            </w:r>
            <w:sdt>
              <w:sdtPr>
                <w:rPr>
                  <w:rFonts w:ascii="Arial" w:hAnsi="Arial" w:cs="Arial"/>
                  <w:sz w:val="22"/>
                  <w:szCs w:val="22"/>
                </w:rPr>
                <w:id w:val="911047373"/>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w:t>
            </w:r>
            <w:r w:rsidR="000B2B8C" w:rsidRPr="00FF712F">
              <w:rPr>
                <w:rFonts w:ascii="Arial" w:hAnsi="Arial" w:cs="Arial"/>
                <w:sz w:val="22"/>
                <w:szCs w:val="22"/>
              </w:rPr>
              <w:t>JV</w:t>
            </w:r>
            <w:r w:rsidR="001864B9">
              <w:rPr>
                <w:rFonts w:ascii="Arial" w:hAnsi="Arial" w:cs="Arial"/>
                <w:sz w:val="22"/>
                <w:szCs w:val="22"/>
              </w:rPr>
              <w:t>-ESOP</w:t>
            </w:r>
            <w:r w:rsidR="00DB0275" w:rsidRPr="00FF712F">
              <w:rPr>
                <w:rFonts w:ascii="Arial" w:hAnsi="Arial" w:cs="Arial"/>
                <w:sz w:val="22"/>
                <w:szCs w:val="22"/>
              </w:rPr>
              <w:tab/>
            </w:r>
            <w:sdt>
              <w:sdtPr>
                <w:rPr>
                  <w:rFonts w:ascii="Arial" w:hAnsi="Arial" w:cs="Arial"/>
                  <w:sz w:val="22"/>
                  <w:szCs w:val="22"/>
                </w:rPr>
                <w:id w:val="-1330207261"/>
                <w15:appearance w15:val="hidden"/>
                <w14:checkbox>
                  <w14:checked w14:val="1"/>
                  <w14:checkedState w14:val="2612" w14:font="MS Gothic"/>
                  <w14:uncheckedState w14:val="2610" w14:font="MS Gothic"/>
                </w14:checkbox>
              </w:sdtPr>
              <w:sdtEndPr/>
              <w:sdtContent>
                <w:r w:rsidR="00451C7D">
                  <w:rPr>
                    <w:rFonts w:ascii="MS Gothic" w:eastAsia="MS Gothic" w:hAnsi="MS Gothic" w:cs="Arial" w:hint="eastAsia"/>
                    <w:sz w:val="22"/>
                    <w:szCs w:val="22"/>
                  </w:rPr>
                  <w:t>☒</w:t>
                </w:r>
              </w:sdtContent>
            </w:sdt>
            <w:r w:rsidR="000B2B8C" w:rsidRPr="00FF712F">
              <w:rPr>
                <w:rFonts w:ascii="Arial" w:hAnsi="Arial" w:cs="Arial"/>
                <w:sz w:val="22"/>
                <w:szCs w:val="22"/>
              </w:rPr>
              <w:t>TEC</w:t>
            </w:r>
            <w:r w:rsidR="001864B9">
              <w:rPr>
                <w:rFonts w:ascii="Arial" w:hAnsi="Arial" w:cs="Arial"/>
                <w:sz w:val="22"/>
                <w:szCs w:val="22"/>
              </w:rPr>
              <w:t>/ESA</w:t>
            </w:r>
          </w:p>
        </w:tc>
      </w:tr>
      <w:tr w:rsidR="00A96893" w:rsidRPr="00120DE3" w14:paraId="659689C6" w14:textId="77777777" w:rsidTr="0089061D">
        <w:tc>
          <w:tcPr>
            <w:tcW w:w="2751" w:type="pct"/>
            <w:tcBorders>
              <w:top w:val="single" w:sz="4" w:space="0" w:color="auto"/>
              <w:bottom w:val="double" w:sz="4" w:space="0" w:color="auto"/>
            </w:tcBorders>
          </w:tcPr>
          <w:p w14:paraId="1E2FFA29" w14:textId="77777777" w:rsidR="00A96893" w:rsidRPr="00A96893" w:rsidRDefault="00A96893" w:rsidP="0089061D">
            <w:pPr>
              <w:spacing w:before="60" w:after="20"/>
              <w:rPr>
                <w:rFonts w:ascii="Arial" w:hAnsi="Arial" w:cs="Arial"/>
              </w:rPr>
            </w:pPr>
            <w:r w:rsidRPr="00120DE3">
              <w:rPr>
                <w:rFonts w:ascii="Arial" w:hAnsi="Arial" w:cs="Arial"/>
                <w:b/>
              </w:rPr>
              <w:t>EFFECTIVE DATE:</w:t>
            </w:r>
            <w:r>
              <w:rPr>
                <w:rFonts w:ascii="Arial" w:hAnsi="Arial" w:cs="Arial"/>
              </w:rPr>
              <w:t xml:space="preserve"> </w:t>
            </w:r>
          </w:p>
        </w:tc>
        <w:tc>
          <w:tcPr>
            <w:tcW w:w="2249" w:type="pct"/>
            <w:tcBorders>
              <w:top w:val="single" w:sz="4" w:space="0" w:color="auto"/>
              <w:bottom w:val="double" w:sz="4" w:space="0" w:color="auto"/>
            </w:tcBorders>
          </w:tcPr>
          <w:p w14:paraId="319CC0A0" w14:textId="204BDA09" w:rsidR="00A96893" w:rsidRPr="00A96893" w:rsidRDefault="00A96893" w:rsidP="0089061D">
            <w:pPr>
              <w:spacing w:before="60" w:after="20"/>
              <w:rPr>
                <w:rFonts w:ascii="Arial" w:hAnsi="Arial" w:cs="Arial"/>
              </w:rPr>
            </w:pPr>
            <w:r w:rsidRPr="00120DE3">
              <w:rPr>
                <w:rFonts w:ascii="Arial" w:hAnsi="Arial" w:cs="Arial"/>
                <w:b/>
              </w:rPr>
              <w:t>ORIGINATION DATE:</w:t>
            </w:r>
            <w:r>
              <w:rPr>
                <w:rFonts w:ascii="Arial" w:hAnsi="Arial" w:cs="Arial"/>
              </w:rPr>
              <w:t xml:space="preserve"> </w:t>
            </w:r>
            <w:r w:rsidR="00A879DD">
              <w:rPr>
                <w:rFonts w:ascii="Arial" w:hAnsi="Arial" w:cs="Arial"/>
              </w:rPr>
              <w:t>6</w:t>
            </w:r>
            <w:r w:rsidR="00A879DD" w:rsidRPr="00A879DD">
              <w:rPr>
                <w:rFonts w:ascii="Arial" w:hAnsi="Arial" w:cs="Arial"/>
              </w:rPr>
              <w:t>/27/2018</w:t>
            </w:r>
          </w:p>
        </w:tc>
      </w:tr>
    </w:tbl>
    <w:p w14:paraId="3DA472F2" w14:textId="755AF1CA" w:rsidR="001F3959" w:rsidRPr="003615B9" w:rsidRDefault="001F3959" w:rsidP="001F3959">
      <w:pPr>
        <w:rPr>
          <w:rFonts w:ascii="Arial" w:hAnsi="Arial" w:cs="Arial"/>
        </w:rPr>
      </w:pPr>
      <w:r>
        <w:rPr>
          <w:rFonts w:ascii="Arial" w:hAnsi="Arial" w:cs="Arial"/>
          <w:b/>
          <w:u w:val="single"/>
        </w:rPr>
        <w:t>CATEGORY</w:t>
      </w:r>
      <w:r w:rsidR="0019168D">
        <w:rPr>
          <w:rFonts w:ascii="Arial" w:hAnsi="Arial" w:cs="Arial"/>
          <w:b/>
          <w:u w:val="single"/>
        </w:rPr>
        <w:t>:</w:t>
      </w:r>
      <w:r w:rsidR="0019168D" w:rsidRPr="00A96893">
        <w:rPr>
          <w:rFonts w:ascii="Arial" w:hAnsi="Arial" w:cs="Arial"/>
        </w:rPr>
        <w:t xml:space="preserve"> </w:t>
      </w:r>
      <w:r>
        <w:rPr>
          <w:rFonts w:ascii="Arial" w:hAnsi="Arial" w:cs="Arial"/>
        </w:rPr>
        <w:t xml:space="preserve"> </w:t>
      </w:r>
      <w:r w:rsidRPr="003615B9">
        <w:rPr>
          <w:rFonts w:ascii="Arial" w:hAnsi="Arial" w:cs="Arial"/>
        </w:rPr>
        <w:t>Diagnostic/Therapeutic/Preventive</w:t>
      </w:r>
    </w:p>
    <w:p w14:paraId="7DF10D58" w14:textId="77777777" w:rsidR="006F1E72" w:rsidRPr="00120DE3" w:rsidRDefault="006F1E72" w:rsidP="00D82ADA">
      <w:pPr>
        <w:rPr>
          <w:rFonts w:ascii="Arial" w:hAnsi="Arial" w:cs="Arial"/>
        </w:rPr>
      </w:pPr>
    </w:p>
    <w:p w14:paraId="6A860210" w14:textId="43AC7890" w:rsidR="001F3959" w:rsidRDefault="001F3959" w:rsidP="00D82ADA">
      <w:pPr>
        <w:rPr>
          <w:rFonts w:ascii="Arial" w:hAnsi="Arial" w:cs="Arial"/>
        </w:rPr>
      </w:pPr>
      <w:r>
        <w:rPr>
          <w:rFonts w:ascii="Arial" w:hAnsi="Arial" w:cs="Arial"/>
          <w:b/>
          <w:u w:val="single"/>
        </w:rPr>
        <w:t>LEVEL</w:t>
      </w:r>
      <w:r w:rsidR="0019168D" w:rsidRPr="0019168D">
        <w:rPr>
          <w:rFonts w:ascii="Arial" w:hAnsi="Arial" w:cs="Arial"/>
          <w:b/>
          <w:u w:val="single"/>
        </w:rPr>
        <w:t>:</w:t>
      </w:r>
      <w:r>
        <w:rPr>
          <w:rFonts w:ascii="Arial" w:hAnsi="Arial" w:cs="Arial"/>
        </w:rPr>
        <w:t xml:space="preserve">  Independent</w:t>
      </w:r>
    </w:p>
    <w:p w14:paraId="0E3A2750" w14:textId="77777777" w:rsidR="00C05CA7" w:rsidRDefault="00C05CA7" w:rsidP="00D82ADA">
      <w:pPr>
        <w:rPr>
          <w:rFonts w:ascii="Arial" w:hAnsi="Arial" w:cs="Arial"/>
        </w:rPr>
      </w:pPr>
    </w:p>
    <w:p w14:paraId="24AA6F4A" w14:textId="77777777" w:rsidR="00451C7D" w:rsidRPr="0019168D" w:rsidRDefault="00451C7D" w:rsidP="00451C7D">
      <w:pPr>
        <w:rPr>
          <w:rFonts w:ascii="Arial" w:hAnsi="Arial" w:cs="Arial"/>
        </w:rPr>
      </w:pPr>
      <w:r w:rsidRPr="34F15EB1">
        <w:rPr>
          <w:rFonts w:ascii="Arial" w:hAnsi="Arial" w:cs="Arial"/>
          <w:b/>
          <w:bCs/>
          <w:u w:val="single"/>
        </w:rPr>
        <w:t>SCOPE:</w:t>
      </w:r>
      <w:r w:rsidRPr="34F15EB1">
        <w:rPr>
          <w:rFonts w:ascii="Arial" w:hAnsi="Arial" w:cs="Arial"/>
        </w:rPr>
        <w:t xml:space="preserve"> </w:t>
      </w:r>
    </w:p>
    <w:p w14:paraId="4C61F06B" w14:textId="179EC412" w:rsidR="00A879DD" w:rsidRPr="00D76767" w:rsidRDefault="00451C7D" w:rsidP="00A879DD">
      <w:pPr>
        <w:rPr>
          <w:rFonts w:ascii="Arial" w:hAnsi="Arial" w:cs="Arial"/>
          <w:sz w:val="20"/>
          <w:szCs w:val="20"/>
        </w:rPr>
      </w:pPr>
      <w:r w:rsidRPr="001857E8">
        <w:rPr>
          <w:rFonts w:ascii="Arial" w:hAnsi="Arial" w:cs="Arial"/>
        </w:rPr>
        <w:t>The Emo</w:t>
      </w:r>
      <w:r w:rsidR="00A879DD">
        <w:rPr>
          <w:rFonts w:ascii="Arial" w:hAnsi="Arial" w:cs="Arial"/>
        </w:rPr>
        <w:t>ry Transplant Center Kidney-</w:t>
      </w:r>
      <w:r w:rsidRPr="001857E8">
        <w:rPr>
          <w:rFonts w:ascii="Arial" w:hAnsi="Arial" w:cs="Arial"/>
        </w:rPr>
        <w:t xml:space="preserve">Pancreas Transplant Program </w:t>
      </w:r>
      <w:r w:rsidR="00A879DD" w:rsidRPr="00A879DD">
        <w:rPr>
          <w:rFonts w:ascii="Arial" w:hAnsi="Arial" w:cs="Arial"/>
        </w:rPr>
        <w:t>will strive to reduce cardiac risk in all kidney</w:t>
      </w:r>
      <w:r w:rsidR="00D76767">
        <w:rPr>
          <w:rFonts w:ascii="Arial" w:hAnsi="Arial" w:cs="Arial"/>
        </w:rPr>
        <w:t>-pancreas</w:t>
      </w:r>
      <w:r w:rsidR="00A879DD" w:rsidRPr="00A879DD">
        <w:rPr>
          <w:rFonts w:ascii="Arial" w:hAnsi="Arial" w:cs="Arial"/>
        </w:rPr>
        <w:t xml:space="preserve"> transplant recipient</w:t>
      </w:r>
      <w:r w:rsidR="00D76767">
        <w:rPr>
          <w:rFonts w:ascii="Arial" w:hAnsi="Arial" w:cs="Arial"/>
        </w:rPr>
        <w:t>s</w:t>
      </w:r>
      <w:r w:rsidR="00D76767">
        <w:rPr>
          <w:rFonts w:ascii="Arial" w:hAnsi="Arial" w:cs="Arial"/>
          <w:sz w:val="20"/>
          <w:szCs w:val="20"/>
        </w:rPr>
        <w:t xml:space="preserve">. </w:t>
      </w:r>
      <w:r w:rsidR="00A879DD" w:rsidRPr="00A879DD">
        <w:rPr>
          <w:rFonts w:ascii="Arial" w:hAnsi="Arial" w:cs="Arial"/>
        </w:rPr>
        <w:t>Kidney</w:t>
      </w:r>
      <w:r w:rsidR="00D76767">
        <w:rPr>
          <w:rFonts w:ascii="Arial" w:hAnsi="Arial" w:cs="Arial"/>
        </w:rPr>
        <w:t>-p</w:t>
      </w:r>
      <w:r w:rsidR="00A879DD">
        <w:rPr>
          <w:rFonts w:ascii="Arial" w:hAnsi="Arial" w:cs="Arial"/>
        </w:rPr>
        <w:t>ancreas</w:t>
      </w:r>
      <w:r w:rsidR="00A879DD" w:rsidRPr="00A879DD">
        <w:rPr>
          <w:rFonts w:ascii="Arial" w:hAnsi="Arial" w:cs="Arial"/>
        </w:rPr>
        <w:t xml:space="preserve"> transplant recipients are at a high risk for cardiovascular events follow</w:t>
      </w:r>
      <w:r w:rsidR="00A879DD">
        <w:rPr>
          <w:rFonts w:ascii="Arial" w:hAnsi="Arial" w:cs="Arial"/>
        </w:rPr>
        <w:t>ing transplant. Cardiovascular d</w:t>
      </w:r>
      <w:r w:rsidR="00A879DD" w:rsidRPr="00A879DD">
        <w:rPr>
          <w:rFonts w:ascii="Arial" w:hAnsi="Arial" w:cs="Arial"/>
        </w:rPr>
        <w:t>isease is the leading cause of morbidity and mortality post transplantation. Risk factors include: Age&gt;40, male, race, hypertension, hyperlipidemia, prior cardiac events, diabetes, obesity, metabolic syndrome, albuminuria and smoking. Reduction of cardiovascular risks requires accurate risk assessment as well as appropriate pharmacological and non-pharmacological interventions.</w:t>
      </w:r>
    </w:p>
    <w:p w14:paraId="0754591E" w14:textId="77777777" w:rsidR="009006C3" w:rsidRDefault="009006C3" w:rsidP="00F42056">
      <w:pPr>
        <w:ind w:left="720" w:hanging="720"/>
        <w:rPr>
          <w:rFonts w:ascii="Arial" w:hAnsi="Arial" w:cs="Arial"/>
        </w:rPr>
      </w:pPr>
    </w:p>
    <w:p w14:paraId="7A74DBD7" w14:textId="77777777" w:rsidR="00A879DD" w:rsidRDefault="00A879DD" w:rsidP="00A879DD">
      <w:pPr>
        <w:rPr>
          <w:rFonts w:ascii="Arial" w:hAnsi="Arial" w:cs="Arial"/>
        </w:rPr>
      </w:pPr>
      <w:r w:rsidRPr="00451C7D">
        <w:rPr>
          <w:rFonts w:ascii="Arial" w:hAnsi="Arial" w:cs="Arial"/>
          <w:b/>
          <w:bCs/>
          <w:u w:val="single"/>
        </w:rPr>
        <w:t>GUIDELINES:</w:t>
      </w:r>
      <w:r w:rsidRPr="00451C7D">
        <w:rPr>
          <w:rFonts w:ascii="Arial" w:hAnsi="Arial" w:cs="Arial"/>
          <w:u w:val="single"/>
        </w:rPr>
        <w:t xml:space="preserve"> </w:t>
      </w:r>
      <w:r w:rsidRPr="00451C7D">
        <w:rPr>
          <w:rFonts w:ascii="Arial" w:hAnsi="Arial" w:cs="Arial"/>
        </w:rPr>
        <w:t xml:space="preserve"> </w:t>
      </w:r>
    </w:p>
    <w:p w14:paraId="5F527C3B" w14:textId="77777777" w:rsidR="00A879DD" w:rsidRDefault="00A879DD" w:rsidP="00F42056">
      <w:pPr>
        <w:ind w:left="720" w:hanging="720"/>
        <w:rPr>
          <w:rFonts w:ascii="Arial" w:hAnsi="Arial" w:cs="Arial"/>
        </w:rPr>
      </w:pPr>
    </w:p>
    <w:p w14:paraId="1CAA4476" w14:textId="151C0877" w:rsidR="00A879DD" w:rsidRPr="00A879DD" w:rsidRDefault="00A879DD" w:rsidP="00CC0464">
      <w:pPr>
        <w:jc w:val="both"/>
        <w:rPr>
          <w:rFonts w:ascii="Arial" w:hAnsi="Arial" w:cs="Arial"/>
        </w:rPr>
      </w:pPr>
      <w:r w:rsidRPr="00A879DD">
        <w:rPr>
          <w:rFonts w:ascii="Arial" w:hAnsi="Arial" w:cs="Arial"/>
        </w:rPr>
        <w:t>The purpose of this guideline is to address the practical management of kidney</w:t>
      </w:r>
      <w:r w:rsidR="00D76767">
        <w:rPr>
          <w:rFonts w:ascii="Arial" w:hAnsi="Arial" w:cs="Arial"/>
        </w:rPr>
        <w:t>-pancreas</w:t>
      </w:r>
      <w:r w:rsidR="00CC0464">
        <w:rPr>
          <w:rFonts w:ascii="Arial" w:hAnsi="Arial" w:cs="Arial"/>
        </w:rPr>
        <w:t xml:space="preserve"> transplant </w:t>
      </w:r>
      <w:r w:rsidRPr="00A879DD">
        <w:rPr>
          <w:rFonts w:ascii="Arial" w:hAnsi="Arial" w:cs="Arial"/>
        </w:rPr>
        <w:t>patients with hypertension, dyslipidemia and cardiovascular disease.</w:t>
      </w:r>
    </w:p>
    <w:p w14:paraId="22DA60DE" w14:textId="77777777" w:rsidR="00D76767" w:rsidRDefault="00D76767" w:rsidP="00D76767">
      <w:pPr>
        <w:rPr>
          <w:rFonts w:ascii="Arial" w:hAnsi="Arial" w:cs="Arial"/>
        </w:rPr>
      </w:pPr>
    </w:p>
    <w:p w14:paraId="13544652" w14:textId="3BCC70BE" w:rsidR="00D76767" w:rsidRDefault="00A879DD" w:rsidP="00D76767">
      <w:pPr>
        <w:pStyle w:val="ListParagraph"/>
        <w:numPr>
          <w:ilvl w:val="0"/>
          <w:numId w:val="16"/>
        </w:numPr>
        <w:rPr>
          <w:rFonts w:ascii="Arial" w:hAnsi="Arial" w:cs="Arial"/>
        </w:rPr>
      </w:pPr>
      <w:r w:rsidRPr="00410083">
        <w:rPr>
          <w:rFonts w:ascii="Arial" w:hAnsi="Arial" w:cs="Arial"/>
          <w:b/>
          <w:u w:val="single"/>
        </w:rPr>
        <w:t>Diet and Lif</w:t>
      </w:r>
      <w:r w:rsidR="00CC0464" w:rsidRPr="00410083">
        <w:rPr>
          <w:rFonts w:ascii="Arial" w:hAnsi="Arial" w:cs="Arial"/>
          <w:b/>
          <w:u w:val="single"/>
        </w:rPr>
        <w:t>estyle Modifications</w:t>
      </w:r>
      <w:r w:rsidR="00D76767" w:rsidRPr="00D76767">
        <w:rPr>
          <w:rFonts w:ascii="Arial" w:hAnsi="Arial" w:cs="Arial"/>
        </w:rPr>
        <w:t>: All kidney-pancreas</w:t>
      </w:r>
      <w:r w:rsidRPr="00D76767">
        <w:rPr>
          <w:rFonts w:ascii="Arial" w:hAnsi="Arial" w:cs="Arial"/>
        </w:rPr>
        <w:t xml:space="preserve"> transplant patients are encouraged and instructed on a healthy lifestyle including weight reduction if overweight, moderate sodium restriction (2,000 to 2,400 mg sodium daily), regular physical activity, and moderation in alcohol consumption. We strongly recommend smoking cessation. Nutrition support and lifestyle modification counselling will be provided to all kidney transplant recipients. </w:t>
      </w:r>
    </w:p>
    <w:p w14:paraId="4A8E638F" w14:textId="77777777" w:rsidR="00D76767" w:rsidRDefault="00D76767" w:rsidP="00D76767">
      <w:pPr>
        <w:pStyle w:val="ListParagraph"/>
        <w:ind w:left="1080"/>
        <w:rPr>
          <w:rFonts w:ascii="Arial" w:hAnsi="Arial" w:cs="Arial"/>
        </w:rPr>
      </w:pPr>
    </w:p>
    <w:p w14:paraId="6E784741" w14:textId="1186C022" w:rsidR="00A879DD" w:rsidRPr="00D76767" w:rsidRDefault="00A879DD" w:rsidP="00D76767">
      <w:pPr>
        <w:pStyle w:val="ListParagraph"/>
        <w:numPr>
          <w:ilvl w:val="0"/>
          <w:numId w:val="16"/>
        </w:numPr>
        <w:rPr>
          <w:rFonts w:ascii="Arial" w:hAnsi="Arial" w:cs="Arial"/>
        </w:rPr>
      </w:pPr>
      <w:r w:rsidRPr="00410083">
        <w:rPr>
          <w:rFonts w:ascii="Arial" w:hAnsi="Arial" w:cs="Arial"/>
          <w:b/>
          <w:u w:val="single"/>
        </w:rPr>
        <w:t>Hypertension Control</w:t>
      </w:r>
      <w:r w:rsidRPr="00D76767">
        <w:rPr>
          <w:rFonts w:ascii="Arial" w:hAnsi="Arial" w:cs="Arial"/>
        </w:rPr>
        <w:t>: Hypertension occurs in a majority of patients with chronic kidney disease and usually persists after successful kidney transplantation. Less stringent blood pressure control targets (&lt;150/90 mmHg) is recommended in the first month after renal transplant to avoid hypotension and graft thrombosis.</w:t>
      </w:r>
    </w:p>
    <w:p w14:paraId="1752684D" w14:textId="77777777" w:rsidR="00A879DD" w:rsidRPr="00A879DD" w:rsidRDefault="00A879DD" w:rsidP="00A879DD">
      <w:pPr>
        <w:ind w:left="720" w:hanging="720"/>
        <w:rPr>
          <w:rFonts w:ascii="Arial" w:hAnsi="Arial" w:cs="Arial"/>
        </w:rPr>
      </w:pPr>
    </w:p>
    <w:p w14:paraId="4F7803CD" w14:textId="77777777" w:rsidR="00A879DD" w:rsidRPr="00CC0464" w:rsidRDefault="00A879DD" w:rsidP="00C252D6">
      <w:pPr>
        <w:ind w:left="720" w:firstLine="360"/>
        <w:rPr>
          <w:rFonts w:ascii="Arial" w:hAnsi="Arial" w:cs="Arial"/>
          <w:b/>
        </w:rPr>
      </w:pPr>
      <w:r w:rsidRPr="00CC0464">
        <w:rPr>
          <w:rFonts w:ascii="Arial" w:hAnsi="Arial" w:cs="Arial"/>
          <w:b/>
        </w:rPr>
        <w:t>BP goals:</w:t>
      </w:r>
    </w:p>
    <w:p w14:paraId="4A36A14B" w14:textId="77777777" w:rsidR="00A879DD" w:rsidRPr="00CC0464" w:rsidRDefault="00A879DD" w:rsidP="00A879DD">
      <w:pPr>
        <w:ind w:left="720" w:hanging="720"/>
        <w:rPr>
          <w:rFonts w:ascii="Arial" w:hAnsi="Arial" w:cs="Arial"/>
          <w:b/>
        </w:rPr>
      </w:pPr>
    </w:p>
    <w:p w14:paraId="41014A63" w14:textId="2D0E07F6" w:rsidR="00A879DD" w:rsidRPr="008201C5" w:rsidRDefault="00CC0464" w:rsidP="008201C5">
      <w:pPr>
        <w:pStyle w:val="ListParagraph"/>
        <w:numPr>
          <w:ilvl w:val="0"/>
          <w:numId w:val="19"/>
        </w:numPr>
        <w:rPr>
          <w:rFonts w:ascii="Arial" w:hAnsi="Arial" w:cs="Arial"/>
          <w:b/>
        </w:rPr>
      </w:pPr>
      <w:r w:rsidRPr="008201C5">
        <w:rPr>
          <w:rFonts w:ascii="Arial" w:hAnsi="Arial" w:cs="Arial"/>
          <w:b/>
        </w:rPr>
        <w:t>1 month: Aim for BP &lt;150/90</w:t>
      </w:r>
    </w:p>
    <w:p w14:paraId="698F8477" w14:textId="77777777" w:rsidR="00A879DD" w:rsidRPr="008201C5" w:rsidRDefault="00A879DD" w:rsidP="008201C5">
      <w:pPr>
        <w:pStyle w:val="ListParagraph"/>
        <w:numPr>
          <w:ilvl w:val="0"/>
          <w:numId w:val="19"/>
        </w:numPr>
        <w:rPr>
          <w:rFonts w:ascii="Arial" w:hAnsi="Arial" w:cs="Arial"/>
          <w:b/>
        </w:rPr>
      </w:pPr>
      <w:r w:rsidRPr="008201C5">
        <w:rPr>
          <w:rFonts w:ascii="Arial" w:hAnsi="Arial" w:cs="Arial"/>
          <w:b/>
        </w:rPr>
        <w:t>2 months onward; Aim for BP &lt;130/80.</w:t>
      </w:r>
    </w:p>
    <w:p w14:paraId="41D9B487" w14:textId="77777777" w:rsidR="00A879DD" w:rsidRPr="00A879DD" w:rsidRDefault="00A879DD" w:rsidP="00A879DD">
      <w:pPr>
        <w:ind w:left="720" w:hanging="720"/>
        <w:rPr>
          <w:rFonts w:ascii="Arial" w:hAnsi="Arial" w:cs="Arial"/>
        </w:rPr>
      </w:pPr>
    </w:p>
    <w:p w14:paraId="57EF7D14" w14:textId="77777777" w:rsidR="00A879DD" w:rsidRPr="00A879DD" w:rsidRDefault="00A879DD" w:rsidP="00C252D6">
      <w:pPr>
        <w:ind w:left="1080"/>
        <w:rPr>
          <w:rFonts w:ascii="Arial" w:hAnsi="Arial" w:cs="Arial"/>
        </w:rPr>
      </w:pPr>
      <w:r w:rsidRPr="00CC0464">
        <w:rPr>
          <w:rFonts w:ascii="Arial" w:hAnsi="Arial" w:cs="Arial"/>
          <w:b/>
        </w:rPr>
        <w:t>Choice of agents</w:t>
      </w:r>
      <w:r w:rsidRPr="00A879DD">
        <w:rPr>
          <w:rFonts w:ascii="Arial" w:hAnsi="Arial" w:cs="Arial"/>
        </w:rPr>
        <w:t xml:space="preserve">: The choice of initial antihypertensive agent may be determined by the presence of one or more common post-transplant complications that may be made better </w:t>
      </w:r>
      <w:bookmarkStart w:id="0" w:name="_GoBack"/>
      <w:bookmarkEnd w:id="0"/>
      <w:r w:rsidRPr="00A879DD">
        <w:rPr>
          <w:rFonts w:ascii="Arial" w:hAnsi="Arial" w:cs="Arial"/>
        </w:rPr>
        <w:t>or worse by specific antihypertensive agents.</w:t>
      </w:r>
    </w:p>
    <w:p w14:paraId="199E4089" w14:textId="77777777" w:rsidR="00A879DD" w:rsidRPr="00A879DD" w:rsidRDefault="00A879DD" w:rsidP="00A879DD">
      <w:pPr>
        <w:ind w:left="720" w:hanging="720"/>
        <w:rPr>
          <w:rFonts w:ascii="Arial" w:hAnsi="Arial" w:cs="Arial"/>
        </w:rPr>
      </w:pPr>
    </w:p>
    <w:p w14:paraId="671E7A32" w14:textId="77777777" w:rsidR="00A879DD" w:rsidRPr="008201C5" w:rsidRDefault="00A879DD" w:rsidP="008201C5">
      <w:pPr>
        <w:pStyle w:val="ListParagraph"/>
        <w:numPr>
          <w:ilvl w:val="0"/>
          <w:numId w:val="20"/>
        </w:numPr>
        <w:rPr>
          <w:rFonts w:ascii="Arial" w:hAnsi="Arial" w:cs="Arial"/>
        </w:rPr>
      </w:pPr>
      <w:r w:rsidRPr="008201C5">
        <w:rPr>
          <w:rFonts w:ascii="Arial" w:hAnsi="Arial" w:cs="Arial"/>
          <w:b/>
        </w:rPr>
        <w:t>First choice agents</w:t>
      </w:r>
      <w:r w:rsidRPr="008201C5">
        <w:rPr>
          <w:rFonts w:ascii="Arial" w:hAnsi="Arial" w:cs="Arial"/>
        </w:rPr>
        <w:t>: Beta blockers, Calcium channel blockers (</w:t>
      </w:r>
      <w:proofErr w:type="spellStart"/>
      <w:r w:rsidRPr="008201C5">
        <w:rPr>
          <w:rFonts w:ascii="Arial" w:hAnsi="Arial" w:cs="Arial"/>
        </w:rPr>
        <w:t>dihydropyridine</w:t>
      </w:r>
      <w:proofErr w:type="spellEnd"/>
      <w:r w:rsidRPr="008201C5">
        <w:rPr>
          <w:rFonts w:ascii="Arial" w:hAnsi="Arial" w:cs="Arial"/>
        </w:rPr>
        <w:t>*)</w:t>
      </w:r>
    </w:p>
    <w:p w14:paraId="1742B35F" w14:textId="77777777" w:rsidR="00A879DD" w:rsidRPr="00A879DD" w:rsidRDefault="00A879DD" w:rsidP="00A879DD">
      <w:pPr>
        <w:ind w:left="720" w:hanging="720"/>
        <w:rPr>
          <w:rFonts w:ascii="Arial" w:hAnsi="Arial" w:cs="Arial"/>
        </w:rPr>
      </w:pPr>
    </w:p>
    <w:p w14:paraId="74E809DE" w14:textId="77777777" w:rsidR="00A879DD" w:rsidRPr="008201C5" w:rsidRDefault="00A879DD" w:rsidP="008201C5">
      <w:pPr>
        <w:pStyle w:val="ListParagraph"/>
        <w:numPr>
          <w:ilvl w:val="0"/>
          <w:numId w:val="20"/>
        </w:numPr>
        <w:rPr>
          <w:rFonts w:ascii="Arial" w:hAnsi="Arial" w:cs="Arial"/>
        </w:rPr>
      </w:pPr>
      <w:r w:rsidRPr="008201C5">
        <w:rPr>
          <w:rFonts w:ascii="Arial" w:hAnsi="Arial" w:cs="Arial"/>
          <w:b/>
        </w:rPr>
        <w:t>Patients with proteinuria or diabetes</w:t>
      </w:r>
      <w:r w:rsidRPr="008201C5">
        <w:rPr>
          <w:rFonts w:ascii="Arial" w:hAnsi="Arial" w:cs="Arial"/>
        </w:rPr>
        <w:t>: ACE inhibitors or ARBs**.</w:t>
      </w:r>
    </w:p>
    <w:p w14:paraId="1023C7F0" w14:textId="77777777" w:rsidR="00A879DD" w:rsidRPr="00A879DD" w:rsidRDefault="00A879DD" w:rsidP="00D76767">
      <w:pPr>
        <w:rPr>
          <w:rFonts w:ascii="Arial" w:hAnsi="Arial" w:cs="Arial"/>
        </w:rPr>
      </w:pPr>
    </w:p>
    <w:p w14:paraId="47BA089F" w14:textId="77777777" w:rsidR="00A879DD" w:rsidRPr="008201C5" w:rsidRDefault="00A879DD" w:rsidP="008201C5">
      <w:pPr>
        <w:pStyle w:val="ListParagraph"/>
        <w:numPr>
          <w:ilvl w:val="0"/>
          <w:numId w:val="20"/>
        </w:numPr>
        <w:rPr>
          <w:rFonts w:ascii="Arial" w:hAnsi="Arial" w:cs="Arial"/>
        </w:rPr>
      </w:pPr>
      <w:r w:rsidRPr="008201C5">
        <w:rPr>
          <w:rFonts w:ascii="Arial" w:hAnsi="Arial" w:cs="Arial"/>
          <w:b/>
        </w:rPr>
        <w:t>Patients with CHF and low ejection fraction</w:t>
      </w:r>
      <w:r w:rsidRPr="008201C5">
        <w:rPr>
          <w:rFonts w:ascii="Arial" w:hAnsi="Arial" w:cs="Arial"/>
        </w:rPr>
        <w:t>: ACE inhibitors and ARBs, beta blockers, hydralazine and oral nitrates.</w:t>
      </w:r>
    </w:p>
    <w:p w14:paraId="46E98BB6" w14:textId="77777777" w:rsidR="00A879DD" w:rsidRPr="00A879DD" w:rsidRDefault="00A879DD" w:rsidP="00A879DD">
      <w:pPr>
        <w:ind w:left="720" w:hanging="720"/>
        <w:rPr>
          <w:rFonts w:ascii="Arial" w:hAnsi="Arial" w:cs="Arial"/>
        </w:rPr>
      </w:pPr>
    </w:p>
    <w:p w14:paraId="08A197B1" w14:textId="77777777" w:rsidR="00A879DD" w:rsidRPr="008201C5" w:rsidRDefault="00A879DD" w:rsidP="008201C5">
      <w:pPr>
        <w:pStyle w:val="ListParagraph"/>
        <w:numPr>
          <w:ilvl w:val="0"/>
          <w:numId w:val="20"/>
        </w:numPr>
        <w:rPr>
          <w:rFonts w:ascii="Arial" w:hAnsi="Arial" w:cs="Arial"/>
        </w:rPr>
      </w:pPr>
      <w:r w:rsidRPr="008201C5">
        <w:rPr>
          <w:rFonts w:ascii="Arial" w:hAnsi="Arial" w:cs="Arial"/>
          <w:b/>
        </w:rPr>
        <w:t>Patients with polycythemia</w:t>
      </w:r>
      <w:r w:rsidRPr="008201C5">
        <w:rPr>
          <w:rFonts w:ascii="Arial" w:hAnsi="Arial" w:cs="Arial"/>
        </w:rPr>
        <w:t>: ACE inhibitors</w:t>
      </w:r>
    </w:p>
    <w:p w14:paraId="3A451B39" w14:textId="77777777" w:rsidR="00A879DD" w:rsidRPr="00A879DD" w:rsidRDefault="00A879DD" w:rsidP="00A879DD">
      <w:pPr>
        <w:ind w:left="720" w:hanging="720"/>
        <w:rPr>
          <w:rFonts w:ascii="Arial" w:hAnsi="Arial" w:cs="Arial"/>
        </w:rPr>
      </w:pPr>
    </w:p>
    <w:p w14:paraId="08321CD9" w14:textId="1A09B445" w:rsidR="00A879DD" w:rsidRPr="008201C5" w:rsidRDefault="00A879DD" w:rsidP="008201C5">
      <w:pPr>
        <w:pStyle w:val="ListParagraph"/>
        <w:numPr>
          <w:ilvl w:val="0"/>
          <w:numId w:val="20"/>
        </w:numPr>
        <w:rPr>
          <w:rFonts w:ascii="Arial" w:hAnsi="Arial" w:cs="Arial"/>
        </w:rPr>
      </w:pPr>
      <w:r w:rsidRPr="008201C5">
        <w:rPr>
          <w:rFonts w:ascii="Arial" w:hAnsi="Arial" w:cs="Arial"/>
          <w:b/>
        </w:rPr>
        <w:t>Additional agents</w:t>
      </w:r>
      <w:r w:rsidRPr="008201C5">
        <w:rPr>
          <w:rFonts w:ascii="Arial" w:hAnsi="Arial" w:cs="Arial"/>
        </w:rPr>
        <w:t xml:space="preserve">: Diuretics [furosemide, bumetanide, </w:t>
      </w:r>
      <w:proofErr w:type="spellStart"/>
      <w:r w:rsidRPr="008201C5">
        <w:rPr>
          <w:rFonts w:ascii="Arial" w:hAnsi="Arial" w:cs="Arial"/>
        </w:rPr>
        <w:t>torsemide</w:t>
      </w:r>
      <w:proofErr w:type="spellEnd"/>
      <w:r w:rsidRPr="008201C5">
        <w:rPr>
          <w:rFonts w:ascii="Arial" w:hAnsi="Arial" w:cs="Arial"/>
        </w:rPr>
        <w:t xml:space="preserve">], hydralazine, </w:t>
      </w:r>
      <w:proofErr w:type="spellStart"/>
      <w:r w:rsidRPr="008201C5">
        <w:rPr>
          <w:rFonts w:ascii="Arial" w:hAnsi="Arial" w:cs="Arial"/>
        </w:rPr>
        <w:t>minoxidil</w:t>
      </w:r>
      <w:proofErr w:type="spellEnd"/>
      <w:r w:rsidRPr="008201C5">
        <w:rPr>
          <w:rFonts w:ascii="Arial" w:hAnsi="Arial" w:cs="Arial"/>
        </w:rPr>
        <w:t>, clonidine, doxazosin,</w:t>
      </w:r>
      <w:r w:rsidR="00403767" w:rsidRPr="008201C5">
        <w:rPr>
          <w:rFonts w:ascii="Arial" w:hAnsi="Arial" w:cs="Arial"/>
        </w:rPr>
        <w:t xml:space="preserve"> </w:t>
      </w:r>
      <w:r w:rsidRPr="008201C5">
        <w:rPr>
          <w:rFonts w:ascii="Arial" w:hAnsi="Arial" w:cs="Arial"/>
        </w:rPr>
        <w:t>terazosin.</w:t>
      </w:r>
    </w:p>
    <w:p w14:paraId="05895AB9" w14:textId="77777777" w:rsidR="00A879DD" w:rsidRPr="00A879DD" w:rsidRDefault="00A879DD" w:rsidP="00A879DD">
      <w:pPr>
        <w:ind w:left="720" w:hanging="720"/>
        <w:rPr>
          <w:rFonts w:ascii="Arial" w:hAnsi="Arial" w:cs="Arial"/>
        </w:rPr>
      </w:pPr>
    </w:p>
    <w:p w14:paraId="016A0CEE" w14:textId="77777777" w:rsidR="00A879DD" w:rsidRPr="00A879DD" w:rsidRDefault="00A879DD" w:rsidP="00C252D6">
      <w:pPr>
        <w:ind w:left="1080"/>
        <w:rPr>
          <w:rFonts w:ascii="Arial" w:hAnsi="Arial" w:cs="Arial"/>
        </w:rPr>
      </w:pPr>
      <w:r w:rsidRPr="00A879DD">
        <w:rPr>
          <w:rFonts w:ascii="Arial" w:hAnsi="Arial" w:cs="Arial"/>
        </w:rPr>
        <w:t>*Non-</w:t>
      </w:r>
      <w:proofErr w:type="spellStart"/>
      <w:r w:rsidRPr="00A879DD">
        <w:rPr>
          <w:rFonts w:ascii="Arial" w:hAnsi="Arial" w:cs="Arial"/>
        </w:rPr>
        <w:t>dihydropyridine</w:t>
      </w:r>
      <w:proofErr w:type="spellEnd"/>
      <w:r w:rsidRPr="00A879DD">
        <w:rPr>
          <w:rFonts w:ascii="Arial" w:hAnsi="Arial" w:cs="Arial"/>
        </w:rPr>
        <w:t xml:space="preserve"> calcium channel blockers (diltiazem, verapamil) should be used cautiously due to interactions with </w:t>
      </w:r>
      <w:proofErr w:type="spellStart"/>
      <w:r w:rsidRPr="00A879DD">
        <w:rPr>
          <w:rFonts w:ascii="Arial" w:hAnsi="Arial" w:cs="Arial"/>
        </w:rPr>
        <w:t>calcineurin</w:t>
      </w:r>
      <w:proofErr w:type="spellEnd"/>
      <w:r w:rsidRPr="00A879DD">
        <w:rPr>
          <w:rFonts w:ascii="Arial" w:hAnsi="Arial" w:cs="Arial"/>
        </w:rPr>
        <w:t xml:space="preserve"> inhibitors and </w:t>
      </w:r>
      <w:proofErr w:type="spellStart"/>
      <w:r w:rsidRPr="00A879DD">
        <w:rPr>
          <w:rFonts w:ascii="Arial" w:hAnsi="Arial" w:cs="Arial"/>
        </w:rPr>
        <w:t>mTor</w:t>
      </w:r>
      <w:proofErr w:type="spellEnd"/>
      <w:r w:rsidRPr="00A879DD">
        <w:rPr>
          <w:rFonts w:ascii="Arial" w:hAnsi="Arial" w:cs="Arial"/>
        </w:rPr>
        <w:t xml:space="preserve"> inhibitors, and reserved for those needing them for rate control or angina.</w:t>
      </w:r>
    </w:p>
    <w:p w14:paraId="5C7EAFE5" w14:textId="77777777" w:rsidR="00A879DD" w:rsidRPr="00A879DD" w:rsidRDefault="00A879DD" w:rsidP="00A879DD">
      <w:pPr>
        <w:ind w:left="720" w:hanging="720"/>
        <w:rPr>
          <w:rFonts w:ascii="Arial" w:hAnsi="Arial" w:cs="Arial"/>
        </w:rPr>
      </w:pPr>
    </w:p>
    <w:p w14:paraId="1E433502" w14:textId="65B0EC44" w:rsidR="00C252D6" w:rsidRDefault="00A879DD" w:rsidP="00C252D6">
      <w:pPr>
        <w:ind w:left="1080"/>
        <w:rPr>
          <w:rFonts w:ascii="Arial" w:hAnsi="Arial" w:cs="Arial"/>
        </w:rPr>
      </w:pPr>
      <w:r w:rsidRPr="00A879DD">
        <w:rPr>
          <w:rFonts w:ascii="Arial" w:hAnsi="Arial" w:cs="Arial"/>
        </w:rPr>
        <w:t>** Given the increased risk of fluctuating GFR, AKI, hyperkalemia would avoid</w:t>
      </w:r>
      <w:r w:rsidR="00403767">
        <w:rPr>
          <w:rFonts w:ascii="Arial" w:hAnsi="Arial" w:cs="Arial"/>
        </w:rPr>
        <w:t xml:space="preserve"> ACE</w:t>
      </w:r>
      <w:r w:rsidR="00600A30">
        <w:rPr>
          <w:rFonts w:ascii="Arial" w:hAnsi="Arial" w:cs="Arial"/>
        </w:rPr>
        <w:t xml:space="preserve"> </w:t>
      </w:r>
      <w:r w:rsidR="00403767">
        <w:rPr>
          <w:rFonts w:ascii="Arial" w:hAnsi="Arial" w:cs="Arial"/>
        </w:rPr>
        <w:t>inhibitor/ARB in the 1st month post-</w:t>
      </w:r>
      <w:r w:rsidRPr="00A879DD">
        <w:rPr>
          <w:rFonts w:ascii="Arial" w:hAnsi="Arial" w:cs="Arial"/>
        </w:rPr>
        <w:t>transplant.</w:t>
      </w:r>
    </w:p>
    <w:p w14:paraId="4C1192C4" w14:textId="77777777" w:rsidR="00C252D6" w:rsidRDefault="00C252D6" w:rsidP="00C252D6">
      <w:pPr>
        <w:rPr>
          <w:rFonts w:ascii="Arial" w:hAnsi="Arial" w:cs="Arial"/>
        </w:rPr>
      </w:pPr>
    </w:p>
    <w:p w14:paraId="5969D099" w14:textId="378773B6" w:rsidR="00C252D6" w:rsidRPr="00C252D6" w:rsidRDefault="00A879DD" w:rsidP="00C252D6">
      <w:pPr>
        <w:pStyle w:val="ListParagraph"/>
        <w:numPr>
          <w:ilvl w:val="0"/>
          <w:numId w:val="16"/>
        </w:numPr>
        <w:rPr>
          <w:rFonts w:ascii="Arial" w:hAnsi="Arial" w:cs="Arial"/>
        </w:rPr>
      </w:pPr>
      <w:r w:rsidRPr="00410083">
        <w:rPr>
          <w:rFonts w:ascii="Arial" w:hAnsi="Arial" w:cs="Arial"/>
          <w:b/>
          <w:u w:val="single"/>
        </w:rPr>
        <w:t>Dyslipidemia Management</w:t>
      </w:r>
      <w:r w:rsidRPr="00C252D6">
        <w:rPr>
          <w:rFonts w:ascii="Arial" w:hAnsi="Arial" w:cs="Arial"/>
        </w:rPr>
        <w:t>:</w:t>
      </w:r>
      <w:r w:rsidR="00C252D6" w:rsidRPr="00C252D6">
        <w:rPr>
          <w:rFonts w:ascii="Arial" w:hAnsi="Arial" w:cs="Arial"/>
        </w:rPr>
        <w:t xml:space="preserve"> </w:t>
      </w:r>
      <w:r w:rsidRPr="00C252D6">
        <w:rPr>
          <w:rFonts w:ascii="Arial" w:hAnsi="Arial" w:cs="Arial"/>
        </w:rPr>
        <w:t>We recommend monitoring of lipid panel at 0, 3, 6, 12 months in the 1st year post post-transplant and then on an annual basis.</w:t>
      </w:r>
      <w:r w:rsidR="00C252D6" w:rsidRPr="00C252D6">
        <w:rPr>
          <w:rFonts w:ascii="Arial" w:hAnsi="Arial" w:cs="Arial"/>
        </w:rPr>
        <w:t xml:space="preserve"> </w:t>
      </w:r>
    </w:p>
    <w:p w14:paraId="4B3625CB" w14:textId="77777777" w:rsidR="00C252D6" w:rsidRDefault="00C252D6" w:rsidP="00C252D6">
      <w:pPr>
        <w:ind w:left="1080"/>
        <w:rPr>
          <w:rFonts w:ascii="Arial" w:hAnsi="Arial" w:cs="Arial"/>
        </w:rPr>
      </w:pPr>
    </w:p>
    <w:p w14:paraId="684A040A" w14:textId="60A5F2D8" w:rsidR="00A879DD" w:rsidRPr="00A879DD" w:rsidRDefault="00A879DD" w:rsidP="00C252D6">
      <w:pPr>
        <w:ind w:left="1080"/>
        <w:rPr>
          <w:rFonts w:ascii="Arial" w:hAnsi="Arial" w:cs="Arial"/>
        </w:rPr>
      </w:pPr>
      <w:r w:rsidRPr="00C252D6">
        <w:rPr>
          <w:rFonts w:ascii="Arial" w:hAnsi="Arial" w:cs="Arial"/>
          <w:b/>
        </w:rPr>
        <w:t>Statins</w:t>
      </w:r>
      <w:r w:rsidRPr="00A879DD">
        <w:rPr>
          <w:rFonts w:ascii="Arial" w:hAnsi="Arial" w:cs="Arial"/>
        </w:rPr>
        <w:t xml:space="preserve"> are the cornerstone of therapy, in addition to healthy lifestyle interventions, for dyslipidemia management.</w:t>
      </w:r>
      <w:r w:rsidR="002805A4">
        <w:rPr>
          <w:rFonts w:ascii="Arial" w:hAnsi="Arial" w:cs="Arial"/>
        </w:rPr>
        <w:t xml:space="preserve"> </w:t>
      </w:r>
      <w:r w:rsidRPr="00A879DD">
        <w:rPr>
          <w:rFonts w:ascii="Arial" w:hAnsi="Arial" w:cs="Arial"/>
        </w:rPr>
        <w:t>The intensity of statin therapy is divided into 3 categories: high-intensity, moderate-intensity, and low-intensity.</w:t>
      </w:r>
    </w:p>
    <w:p w14:paraId="7A89D0D7" w14:textId="77777777" w:rsidR="00A879DD" w:rsidRPr="00A879DD" w:rsidRDefault="00A879DD" w:rsidP="00A879DD">
      <w:pPr>
        <w:ind w:left="720" w:hanging="720"/>
        <w:rPr>
          <w:rFonts w:ascii="Arial" w:hAnsi="Arial" w:cs="Arial"/>
        </w:rPr>
      </w:pPr>
    </w:p>
    <w:p w14:paraId="513086B9" w14:textId="29637C8C" w:rsidR="00431C22" w:rsidRDefault="00A879DD" w:rsidP="00431C22">
      <w:pPr>
        <w:ind w:left="1080"/>
        <w:rPr>
          <w:rFonts w:ascii="Arial" w:hAnsi="Arial" w:cs="Arial"/>
          <w:b/>
        </w:rPr>
      </w:pPr>
      <w:r w:rsidRPr="00431C22">
        <w:rPr>
          <w:rFonts w:ascii="Arial" w:hAnsi="Arial" w:cs="Arial"/>
          <w:b/>
        </w:rPr>
        <w:t xml:space="preserve">We recommend starting on the lowest recommended dose and </w:t>
      </w:r>
      <w:proofErr w:type="spellStart"/>
      <w:r w:rsidRPr="00431C22">
        <w:rPr>
          <w:rFonts w:ascii="Arial" w:hAnsi="Arial" w:cs="Arial"/>
          <w:b/>
        </w:rPr>
        <w:t>uptitrate</w:t>
      </w:r>
      <w:proofErr w:type="spellEnd"/>
      <w:r w:rsidRPr="00431C22">
        <w:rPr>
          <w:rFonts w:ascii="Arial" w:hAnsi="Arial" w:cs="Arial"/>
          <w:b/>
        </w:rPr>
        <w:t xml:space="preserve"> to maximum dose based on discussion with nephrologist and clinical pharmacist.</w:t>
      </w:r>
    </w:p>
    <w:p w14:paraId="701975A3" w14:textId="77777777" w:rsidR="00431C22" w:rsidRPr="00431C22" w:rsidRDefault="00431C22" w:rsidP="00431C22">
      <w:pPr>
        <w:ind w:left="1080"/>
        <w:rPr>
          <w:rFonts w:ascii="Arial" w:hAnsi="Arial" w:cs="Arial"/>
          <w:b/>
        </w:rPr>
      </w:pPr>
    </w:p>
    <w:tbl>
      <w:tblPr>
        <w:tblStyle w:val="TableGrid"/>
        <w:tblW w:w="0" w:type="auto"/>
        <w:tblInd w:w="1080" w:type="dxa"/>
        <w:tblLook w:val="04A0" w:firstRow="1" w:lastRow="0" w:firstColumn="1" w:lastColumn="0" w:noHBand="0" w:noVBand="1"/>
      </w:tblPr>
      <w:tblGrid>
        <w:gridCol w:w="1885"/>
        <w:gridCol w:w="2994"/>
        <w:gridCol w:w="2425"/>
        <w:gridCol w:w="2406"/>
      </w:tblGrid>
      <w:tr w:rsidR="00431C22" w14:paraId="7A308EC1" w14:textId="77777777" w:rsidTr="00C97957">
        <w:tc>
          <w:tcPr>
            <w:tcW w:w="1885" w:type="dxa"/>
          </w:tcPr>
          <w:p w14:paraId="4DAD40E5" w14:textId="77777777" w:rsidR="00431C22" w:rsidRDefault="00431C22" w:rsidP="00C97957">
            <w:pPr>
              <w:pStyle w:val="p2"/>
              <w:ind w:left="0"/>
            </w:pPr>
          </w:p>
        </w:tc>
        <w:tc>
          <w:tcPr>
            <w:tcW w:w="2994" w:type="dxa"/>
          </w:tcPr>
          <w:p w14:paraId="0A9F7B4B" w14:textId="77777777" w:rsidR="00431C22" w:rsidRPr="008B7FEE" w:rsidRDefault="00431C22" w:rsidP="00C97957">
            <w:pPr>
              <w:pStyle w:val="p2"/>
              <w:ind w:left="0"/>
              <w:rPr>
                <w:b/>
              </w:rPr>
            </w:pPr>
            <w:r w:rsidRPr="00C31A63">
              <w:rPr>
                <w:b/>
              </w:rPr>
              <w:t>LOW</w:t>
            </w:r>
            <w:r w:rsidRPr="008B7FEE">
              <w:rPr>
                <w:b/>
              </w:rPr>
              <w:t xml:space="preserve"> INTENSITY STATIN</w:t>
            </w:r>
          </w:p>
        </w:tc>
        <w:tc>
          <w:tcPr>
            <w:tcW w:w="2425" w:type="dxa"/>
          </w:tcPr>
          <w:p w14:paraId="2349A784" w14:textId="77777777" w:rsidR="00431C22" w:rsidRPr="008B7FEE" w:rsidRDefault="00431C22" w:rsidP="00C97957">
            <w:pPr>
              <w:pStyle w:val="p2"/>
              <w:ind w:left="0"/>
              <w:rPr>
                <w:b/>
              </w:rPr>
            </w:pPr>
            <w:r w:rsidRPr="008B7FEE">
              <w:rPr>
                <w:b/>
              </w:rPr>
              <w:t>MODERATE INTENSITY STATIN</w:t>
            </w:r>
          </w:p>
        </w:tc>
        <w:tc>
          <w:tcPr>
            <w:tcW w:w="2406" w:type="dxa"/>
          </w:tcPr>
          <w:p w14:paraId="5BAC406D" w14:textId="77777777" w:rsidR="00431C22" w:rsidRPr="008B7FEE" w:rsidRDefault="00431C22" w:rsidP="00C97957">
            <w:pPr>
              <w:pStyle w:val="p2"/>
              <w:ind w:left="0"/>
              <w:rPr>
                <w:b/>
              </w:rPr>
            </w:pPr>
            <w:r>
              <w:rPr>
                <w:b/>
              </w:rPr>
              <w:t>HIGH</w:t>
            </w:r>
            <w:r w:rsidRPr="008B7FEE">
              <w:rPr>
                <w:b/>
              </w:rPr>
              <w:t xml:space="preserve"> INTENSITY STATIN</w:t>
            </w:r>
          </w:p>
        </w:tc>
      </w:tr>
      <w:tr w:rsidR="00431C22" w14:paraId="73285E53" w14:textId="77777777" w:rsidTr="00C97957">
        <w:tc>
          <w:tcPr>
            <w:tcW w:w="1885" w:type="dxa"/>
          </w:tcPr>
          <w:p w14:paraId="33E1774D" w14:textId="77777777" w:rsidR="00431C22" w:rsidRPr="008B7FEE" w:rsidRDefault="00431C22" w:rsidP="00C97957">
            <w:pPr>
              <w:pStyle w:val="p2"/>
              <w:ind w:left="0"/>
              <w:rPr>
                <w:b/>
              </w:rPr>
            </w:pPr>
            <w:r w:rsidRPr="008B7FEE">
              <w:rPr>
                <w:b/>
              </w:rPr>
              <w:t>LDL LOWERING</w:t>
            </w:r>
          </w:p>
        </w:tc>
        <w:tc>
          <w:tcPr>
            <w:tcW w:w="2994" w:type="dxa"/>
          </w:tcPr>
          <w:p w14:paraId="6BAAA21B" w14:textId="77777777" w:rsidR="00431C22" w:rsidRPr="008B7FEE" w:rsidRDefault="00431C22" w:rsidP="00C97957">
            <w:pPr>
              <w:pStyle w:val="p2"/>
              <w:ind w:left="0"/>
              <w:rPr>
                <w:b/>
              </w:rPr>
            </w:pPr>
            <w:r w:rsidRPr="00C31A63">
              <w:rPr>
                <w:b/>
              </w:rPr>
              <w:t>&lt;3</w:t>
            </w:r>
            <w:r w:rsidRPr="008B7FEE">
              <w:rPr>
                <w:b/>
              </w:rPr>
              <w:t>0%</w:t>
            </w:r>
          </w:p>
        </w:tc>
        <w:tc>
          <w:tcPr>
            <w:tcW w:w="2425" w:type="dxa"/>
          </w:tcPr>
          <w:p w14:paraId="0C19DD8C" w14:textId="77777777" w:rsidR="00431C22" w:rsidRPr="008B7FEE" w:rsidRDefault="00431C22" w:rsidP="00C97957">
            <w:pPr>
              <w:pStyle w:val="p2"/>
              <w:ind w:left="0"/>
              <w:rPr>
                <w:b/>
              </w:rPr>
            </w:pPr>
            <w:r w:rsidRPr="008B7FEE">
              <w:rPr>
                <w:b/>
              </w:rPr>
              <w:t>30-50%</w:t>
            </w:r>
          </w:p>
        </w:tc>
        <w:tc>
          <w:tcPr>
            <w:tcW w:w="2406" w:type="dxa"/>
          </w:tcPr>
          <w:p w14:paraId="57550186" w14:textId="77777777" w:rsidR="00431C22" w:rsidRPr="008B7FEE" w:rsidRDefault="00431C22" w:rsidP="00C97957">
            <w:pPr>
              <w:pStyle w:val="p2"/>
              <w:ind w:left="0"/>
              <w:rPr>
                <w:b/>
              </w:rPr>
            </w:pPr>
            <w:r w:rsidRPr="00C31A63">
              <w:rPr>
                <w:b/>
              </w:rPr>
              <w:t>&gt;5</w:t>
            </w:r>
            <w:r w:rsidRPr="008B7FEE">
              <w:rPr>
                <w:b/>
              </w:rPr>
              <w:t>0%</w:t>
            </w:r>
          </w:p>
        </w:tc>
      </w:tr>
      <w:tr w:rsidR="00431C22" w14:paraId="6C48D254" w14:textId="77777777" w:rsidTr="00C97957">
        <w:tc>
          <w:tcPr>
            <w:tcW w:w="1885" w:type="dxa"/>
          </w:tcPr>
          <w:p w14:paraId="6EB77E86" w14:textId="77777777" w:rsidR="00431C22" w:rsidRDefault="00431C22" w:rsidP="00C97957">
            <w:pPr>
              <w:pStyle w:val="p2"/>
              <w:ind w:left="0"/>
            </w:pPr>
          </w:p>
        </w:tc>
        <w:tc>
          <w:tcPr>
            <w:tcW w:w="2994" w:type="dxa"/>
          </w:tcPr>
          <w:p w14:paraId="107DDBEF" w14:textId="77777777" w:rsidR="00431C22" w:rsidRDefault="00431C22" w:rsidP="00C97957">
            <w:pPr>
              <w:pStyle w:val="p2"/>
              <w:ind w:left="0"/>
            </w:pPr>
            <w:r w:rsidRPr="009138AD">
              <w:t>Pravastatin</w:t>
            </w:r>
            <w:r>
              <w:t xml:space="preserve"> 10-20mg*</w:t>
            </w:r>
          </w:p>
          <w:p w14:paraId="476B200A" w14:textId="77777777" w:rsidR="00431C22" w:rsidRDefault="00431C22" w:rsidP="00C97957">
            <w:pPr>
              <w:pStyle w:val="p2"/>
              <w:ind w:left="0"/>
            </w:pPr>
            <w:proofErr w:type="spellStart"/>
            <w:r>
              <w:t>Simvastation</w:t>
            </w:r>
            <w:proofErr w:type="spellEnd"/>
            <w:r>
              <w:t xml:space="preserve"> 10mg</w:t>
            </w:r>
          </w:p>
          <w:p w14:paraId="73B8ECA8" w14:textId="77777777" w:rsidR="00431C22" w:rsidRDefault="00431C22" w:rsidP="00C97957">
            <w:pPr>
              <w:pStyle w:val="p2"/>
              <w:ind w:left="0"/>
            </w:pPr>
            <w:r w:rsidRPr="009138AD">
              <w:t>Lovastatin 20</w:t>
            </w:r>
            <w:r>
              <w:t xml:space="preserve"> mg</w:t>
            </w:r>
          </w:p>
          <w:p w14:paraId="185BDEBF" w14:textId="77777777" w:rsidR="00431C22" w:rsidRDefault="00431C22" w:rsidP="00C97957">
            <w:pPr>
              <w:pStyle w:val="p2"/>
              <w:ind w:left="0"/>
            </w:pPr>
            <w:proofErr w:type="spellStart"/>
            <w:r w:rsidRPr="009138AD">
              <w:t>Fluvastatin</w:t>
            </w:r>
            <w:proofErr w:type="spellEnd"/>
            <w:r w:rsidRPr="009138AD">
              <w:t xml:space="preserve"> </w:t>
            </w:r>
            <w:r>
              <w:t>20-</w:t>
            </w:r>
            <w:r w:rsidRPr="009138AD">
              <w:t>40 mg</w:t>
            </w:r>
          </w:p>
          <w:p w14:paraId="177D06A7" w14:textId="77777777" w:rsidR="00431C22" w:rsidRDefault="00431C22" w:rsidP="00C97957">
            <w:pPr>
              <w:pStyle w:val="p2"/>
            </w:pPr>
          </w:p>
          <w:p w14:paraId="3274F02A" w14:textId="77777777" w:rsidR="00431C22" w:rsidRDefault="00431C22" w:rsidP="00C97957">
            <w:pPr>
              <w:pStyle w:val="p2"/>
              <w:ind w:left="0"/>
            </w:pPr>
          </w:p>
        </w:tc>
        <w:tc>
          <w:tcPr>
            <w:tcW w:w="2425" w:type="dxa"/>
          </w:tcPr>
          <w:p w14:paraId="4B2E3746" w14:textId="77777777" w:rsidR="00431C22" w:rsidRDefault="00431C22" w:rsidP="00C97957">
            <w:pPr>
              <w:pStyle w:val="p2"/>
              <w:ind w:left="0"/>
            </w:pPr>
            <w:r>
              <w:t>Atorvastatin 10-20mg*</w:t>
            </w:r>
          </w:p>
          <w:p w14:paraId="470B653A" w14:textId="77777777" w:rsidR="00431C22" w:rsidRDefault="00431C22" w:rsidP="00C97957">
            <w:pPr>
              <w:pStyle w:val="p2"/>
              <w:ind w:left="0"/>
            </w:pPr>
            <w:proofErr w:type="spellStart"/>
            <w:r>
              <w:t>Rosuvastatin</w:t>
            </w:r>
            <w:proofErr w:type="spellEnd"/>
            <w:r>
              <w:t xml:space="preserve"> 5-10mg*</w:t>
            </w:r>
          </w:p>
          <w:p w14:paraId="1B373205" w14:textId="77777777" w:rsidR="00431C22" w:rsidRDefault="00431C22" w:rsidP="00C97957">
            <w:pPr>
              <w:pStyle w:val="p2"/>
              <w:ind w:left="0"/>
            </w:pPr>
            <w:proofErr w:type="spellStart"/>
            <w:r>
              <w:t>Simvastation</w:t>
            </w:r>
            <w:proofErr w:type="spellEnd"/>
            <w:r>
              <w:t xml:space="preserve"> 20-40mg</w:t>
            </w:r>
          </w:p>
          <w:p w14:paraId="2F86BC64" w14:textId="77777777" w:rsidR="00431C22" w:rsidRDefault="00431C22" w:rsidP="00C97957">
            <w:pPr>
              <w:pStyle w:val="p2"/>
              <w:ind w:left="0"/>
            </w:pPr>
            <w:r w:rsidRPr="009138AD">
              <w:t>Pravastatin 40</w:t>
            </w:r>
            <w:r>
              <w:t>-80</w:t>
            </w:r>
            <w:r w:rsidRPr="009138AD">
              <w:t>mg</w:t>
            </w:r>
          </w:p>
          <w:p w14:paraId="5EF6023F" w14:textId="77777777" w:rsidR="00431C22" w:rsidRDefault="00431C22" w:rsidP="00C97957">
            <w:pPr>
              <w:pStyle w:val="p2"/>
              <w:ind w:left="0"/>
            </w:pPr>
            <w:r w:rsidRPr="009138AD">
              <w:t xml:space="preserve">Lovastatin 40 </w:t>
            </w:r>
            <w:r>
              <w:t>-80</w:t>
            </w:r>
            <w:r w:rsidRPr="009138AD">
              <w:t>mg</w:t>
            </w:r>
          </w:p>
          <w:p w14:paraId="1EC11463" w14:textId="77777777" w:rsidR="00431C22" w:rsidRDefault="00431C22" w:rsidP="00C97957">
            <w:pPr>
              <w:pStyle w:val="p2"/>
              <w:ind w:left="0"/>
            </w:pPr>
            <w:proofErr w:type="spellStart"/>
            <w:r w:rsidRPr="009138AD">
              <w:t>Fluvastatin</w:t>
            </w:r>
            <w:proofErr w:type="spellEnd"/>
            <w:r w:rsidRPr="009138AD">
              <w:t xml:space="preserve"> XL 80 mg</w:t>
            </w:r>
          </w:p>
          <w:p w14:paraId="7037EA36" w14:textId="77777777" w:rsidR="00431C22" w:rsidRDefault="00431C22" w:rsidP="00C97957">
            <w:pPr>
              <w:pStyle w:val="p2"/>
              <w:ind w:left="0"/>
            </w:pPr>
            <w:proofErr w:type="spellStart"/>
            <w:r w:rsidRPr="009138AD">
              <w:t>Fluvastatin</w:t>
            </w:r>
            <w:proofErr w:type="spellEnd"/>
            <w:r w:rsidRPr="009138AD">
              <w:t xml:space="preserve"> 40 mg</w:t>
            </w:r>
            <w:r>
              <w:t xml:space="preserve"> BID</w:t>
            </w:r>
          </w:p>
          <w:p w14:paraId="2C210810" w14:textId="77777777" w:rsidR="00431C22" w:rsidRDefault="00431C22" w:rsidP="00C97957">
            <w:pPr>
              <w:pStyle w:val="p2"/>
              <w:ind w:left="0"/>
            </w:pPr>
            <w:proofErr w:type="spellStart"/>
            <w:r w:rsidRPr="009138AD">
              <w:t>Pitavastatin</w:t>
            </w:r>
            <w:proofErr w:type="spellEnd"/>
            <w:r w:rsidRPr="009138AD">
              <w:t xml:space="preserve"> 1–4 mg</w:t>
            </w:r>
          </w:p>
          <w:p w14:paraId="0A3F1DC4" w14:textId="77777777" w:rsidR="00431C22" w:rsidRDefault="00431C22" w:rsidP="00C97957">
            <w:pPr>
              <w:pStyle w:val="p2"/>
              <w:ind w:left="0"/>
            </w:pPr>
          </w:p>
        </w:tc>
        <w:tc>
          <w:tcPr>
            <w:tcW w:w="2406" w:type="dxa"/>
          </w:tcPr>
          <w:p w14:paraId="32659469" w14:textId="77777777" w:rsidR="00431C22" w:rsidRDefault="00431C22" w:rsidP="00C97957">
            <w:pPr>
              <w:pStyle w:val="p2"/>
              <w:ind w:left="0"/>
            </w:pPr>
            <w:r>
              <w:t>Atorvastatin 40-80mg*</w:t>
            </w:r>
          </w:p>
          <w:p w14:paraId="7DFB606D" w14:textId="77777777" w:rsidR="00431C22" w:rsidRDefault="00431C22" w:rsidP="00C97957">
            <w:pPr>
              <w:pStyle w:val="p2"/>
              <w:ind w:left="0"/>
            </w:pPr>
            <w:proofErr w:type="spellStart"/>
            <w:r w:rsidRPr="00CE712D">
              <w:t>Rosuvastatin</w:t>
            </w:r>
            <w:proofErr w:type="spellEnd"/>
            <w:r w:rsidRPr="00CE712D">
              <w:t xml:space="preserve"> 20</w:t>
            </w:r>
            <w:r>
              <w:t>-40mg*</w:t>
            </w:r>
          </w:p>
          <w:p w14:paraId="2FAF1F19" w14:textId="77777777" w:rsidR="00431C22" w:rsidRDefault="00431C22" w:rsidP="00C97957">
            <w:pPr>
              <w:pStyle w:val="p2"/>
              <w:ind w:left="0"/>
            </w:pPr>
          </w:p>
        </w:tc>
      </w:tr>
    </w:tbl>
    <w:p w14:paraId="230E9331" w14:textId="77777777" w:rsidR="002805A4" w:rsidRDefault="00431C22" w:rsidP="002805A4">
      <w:pPr>
        <w:pStyle w:val="p2"/>
        <w:ind w:left="1080"/>
      </w:pPr>
      <w:r>
        <w:t>*Recommended Statins to use</w:t>
      </w:r>
    </w:p>
    <w:p w14:paraId="341C84DA" w14:textId="77777777" w:rsidR="002805A4" w:rsidRDefault="002805A4" w:rsidP="002805A4">
      <w:pPr>
        <w:pStyle w:val="p2"/>
        <w:rPr>
          <w:b/>
          <w:sz w:val="24"/>
          <w:szCs w:val="24"/>
        </w:rPr>
      </w:pPr>
    </w:p>
    <w:p w14:paraId="31B7CA1D" w14:textId="77777777" w:rsidR="002805A4" w:rsidRPr="002805A4" w:rsidRDefault="00431C22" w:rsidP="002805A4">
      <w:pPr>
        <w:pStyle w:val="p2"/>
        <w:numPr>
          <w:ilvl w:val="0"/>
          <w:numId w:val="16"/>
        </w:numPr>
      </w:pPr>
      <w:r w:rsidRPr="002805A4">
        <w:rPr>
          <w:b/>
          <w:sz w:val="24"/>
          <w:szCs w:val="24"/>
          <w:u w:val="single"/>
        </w:rPr>
        <w:lastRenderedPageBreak/>
        <w:t>Diabetes Management</w:t>
      </w:r>
      <w:r w:rsidR="002805A4">
        <w:rPr>
          <w:b/>
          <w:sz w:val="24"/>
          <w:szCs w:val="24"/>
        </w:rPr>
        <w:t>:</w:t>
      </w:r>
      <w:r w:rsidR="002805A4">
        <w:t xml:space="preserve"> </w:t>
      </w:r>
      <w:r w:rsidRPr="002805A4">
        <w:rPr>
          <w:sz w:val="24"/>
          <w:szCs w:val="24"/>
        </w:rPr>
        <w:t>Many patients develop diabetes mellitus following kidney transplant which increases their cardiovascular risks. In addition to diet and lifestyle modifications, pharmacological interventions can be used t</w:t>
      </w:r>
      <w:r w:rsidR="002805A4">
        <w:rPr>
          <w:sz w:val="24"/>
          <w:szCs w:val="24"/>
        </w:rPr>
        <w:t>o keep h</w:t>
      </w:r>
      <w:r w:rsidRPr="002805A4">
        <w:rPr>
          <w:sz w:val="24"/>
          <w:szCs w:val="24"/>
        </w:rPr>
        <w:t>emoglobin A1c less than 6.5.</w:t>
      </w:r>
    </w:p>
    <w:p w14:paraId="6419E840" w14:textId="77777777" w:rsidR="002805A4" w:rsidRDefault="002805A4" w:rsidP="002805A4">
      <w:pPr>
        <w:pStyle w:val="p2"/>
        <w:ind w:left="1080"/>
      </w:pPr>
    </w:p>
    <w:p w14:paraId="02BE1B6D" w14:textId="3A36BAB8" w:rsidR="00431C22" w:rsidRPr="002805A4" w:rsidRDefault="00431C22" w:rsidP="002805A4">
      <w:pPr>
        <w:pStyle w:val="p2"/>
        <w:numPr>
          <w:ilvl w:val="0"/>
          <w:numId w:val="16"/>
        </w:numPr>
      </w:pPr>
      <w:r w:rsidRPr="002805A4">
        <w:rPr>
          <w:b/>
          <w:sz w:val="24"/>
          <w:szCs w:val="24"/>
          <w:u w:val="single"/>
        </w:rPr>
        <w:t>Primary Prevention of Cardiovascular Disease</w:t>
      </w:r>
      <w:r w:rsidR="002805A4">
        <w:t xml:space="preserve">: </w:t>
      </w:r>
      <w:r w:rsidR="002805A4" w:rsidRPr="002805A4">
        <w:rPr>
          <w:sz w:val="24"/>
          <w:szCs w:val="24"/>
        </w:rPr>
        <w:t>All kidney-pancreas t</w:t>
      </w:r>
      <w:r w:rsidRPr="002805A4">
        <w:rPr>
          <w:sz w:val="24"/>
          <w:szCs w:val="24"/>
        </w:rPr>
        <w:t xml:space="preserve">ransplant recipients are at </w:t>
      </w:r>
      <w:r w:rsidR="002805A4">
        <w:rPr>
          <w:sz w:val="24"/>
          <w:szCs w:val="24"/>
        </w:rPr>
        <w:t>risk of having atherosclerotic c</w:t>
      </w:r>
      <w:r w:rsidRPr="002805A4">
        <w:rPr>
          <w:sz w:val="24"/>
          <w:szCs w:val="24"/>
        </w:rPr>
        <w:t>ar</w:t>
      </w:r>
      <w:r w:rsidR="002805A4">
        <w:rPr>
          <w:sz w:val="24"/>
          <w:szCs w:val="24"/>
        </w:rPr>
        <w:t>diovascular d</w:t>
      </w:r>
      <w:r w:rsidRPr="002805A4">
        <w:rPr>
          <w:sz w:val="24"/>
          <w:szCs w:val="24"/>
        </w:rPr>
        <w:t>isease. Therefore primary prevention is necessary for this group.</w:t>
      </w:r>
      <w:r w:rsidR="002805A4">
        <w:rPr>
          <w:sz w:val="24"/>
          <w:szCs w:val="24"/>
        </w:rPr>
        <w:t xml:space="preserve"> </w:t>
      </w:r>
      <w:r w:rsidRPr="002805A4">
        <w:rPr>
          <w:sz w:val="24"/>
          <w:szCs w:val="24"/>
        </w:rPr>
        <w:t>Atherosclerotic Cardiovascular Disease (ASCVD) risk score should be calculated in all kidney transplant patients aged 20-79, without ASCVD,</w:t>
      </w:r>
      <w:r w:rsidR="002805A4">
        <w:rPr>
          <w:sz w:val="24"/>
          <w:szCs w:val="24"/>
        </w:rPr>
        <w:t xml:space="preserve"> </w:t>
      </w:r>
      <w:r w:rsidRPr="002805A4">
        <w:rPr>
          <w:sz w:val="24"/>
          <w:szCs w:val="24"/>
        </w:rPr>
        <w:t xml:space="preserve">with LDL &lt;160, who are not on a statin.  </w:t>
      </w:r>
    </w:p>
    <w:p w14:paraId="522ECE08" w14:textId="77777777" w:rsidR="00431C22" w:rsidRPr="00431C22" w:rsidRDefault="00431C22" w:rsidP="00431C22">
      <w:pPr>
        <w:pStyle w:val="p2"/>
        <w:ind w:left="1080"/>
        <w:rPr>
          <w:b/>
          <w:sz w:val="24"/>
          <w:szCs w:val="24"/>
        </w:rPr>
      </w:pPr>
      <w:r w:rsidRPr="00431C22">
        <w:rPr>
          <w:sz w:val="24"/>
          <w:szCs w:val="24"/>
        </w:rPr>
        <w:t>The ASCVD risk calculator can be found at:</w:t>
      </w:r>
      <w:r w:rsidRPr="00431C22">
        <w:rPr>
          <w:b/>
          <w:sz w:val="24"/>
          <w:szCs w:val="24"/>
        </w:rPr>
        <w:t xml:space="preserve"> </w:t>
      </w:r>
    </w:p>
    <w:p w14:paraId="68A2F3E7" w14:textId="77777777" w:rsidR="00431C22" w:rsidRPr="00431C22" w:rsidRDefault="00D8320A" w:rsidP="00431C22">
      <w:pPr>
        <w:pStyle w:val="p2"/>
        <w:ind w:left="1080"/>
        <w:rPr>
          <w:sz w:val="24"/>
          <w:szCs w:val="24"/>
        </w:rPr>
      </w:pPr>
      <w:hyperlink r:id="rId8" w:anchor="!/calulate/estimator/" w:history="1">
        <w:r w:rsidR="00431C22" w:rsidRPr="00431C22">
          <w:rPr>
            <w:rStyle w:val="Hyperlink"/>
            <w:sz w:val="24"/>
            <w:szCs w:val="24"/>
          </w:rPr>
          <w:t>http://tools.acc.org/ldl/ascvd_risk_estimator/index.html#!/calulate/estimator/</w:t>
        </w:r>
      </w:hyperlink>
    </w:p>
    <w:p w14:paraId="4E73E472" w14:textId="77777777" w:rsidR="00431C22" w:rsidRPr="00431C22" w:rsidRDefault="00431C22" w:rsidP="00431C22">
      <w:pPr>
        <w:pStyle w:val="p2"/>
        <w:numPr>
          <w:ilvl w:val="0"/>
          <w:numId w:val="17"/>
        </w:numPr>
        <w:rPr>
          <w:rFonts w:ascii="Helvetica" w:hAnsi="Helvetica" w:cs="Helvetica"/>
          <w:color w:val="000000"/>
          <w:sz w:val="24"/>
          <w:szCs w:val="24"/>
          <w:lang w:val="en"/>
        </w:rPr>
      </w:pPr>
      <w:r w:rsidRPr="00431C22">
        <w:rPr>
          <w:rFonts w:ascii="Helvetica" w:hAnsi="Helvetica" w:cs="Helvetica"/>
          <w:color w:val="000000"/>
          <w:sz w:val="24"/>
          <w:szCs w:val="24"/>
          <w:lang w:val="en"/>
        </w:rPr>
        <w:t xml:space="preserve">Patients with severe hypercholesterolemia (LDL &gt;190mg/dl) and adults 40 to 75 years of age with diabetes mellitus are candidates for immediate statin therapy without further risk assessment. </w:t>
      </w:r>
    </w:p>
    <w:p w14:paraId="4F0FC919" w14:textId="77777777" w:rsidR="00431C22" w:rsidRPr="00431C22" w:rsidRDefault="00431C22" w:rsidP="00431C22">
      <w:pPr>
        <w:pStyle w:val="p2"/>
        <w:numPr>
          <w:ilvl w:val="0"/>
          <w:numId w:val="17"/>
        </w:numPr>
        <w:rPr>
          <w:rFonts w:ascii="Helvetica" w:hAnsi="Helvetica" w:cs="Helvetica"/>
          <w:color w:val="000000"/>
          <w:sz w:val="24"/>
          <w:szCs w:val="24"/>
          <w:lang w:val="en"/>
        </w:rPr>
      </w:pPr>
      <w:r w:rsidRPr="00431C22">
        <w:rPr>
          <w:rFonts w:ascii="Helvetica" w:hAnsi="Helvetica" w:cs="Helvetica"/>
          <w:color w:val="000000"/>
          <w:sz w:val="24"/>
          <w:szCs w:val="24"/>
          <w:lang w:val="en"/>
        </w:rPr>
        <w:t>Adults with diabetes mellitus should start with a moderate-intensity statin, and as they accrue multiple risk factors, a high-intensity statin may be indicated.</w:t>
      </w:r>
    </w:p>
    <w:p w14:paraId="184F1B62" w14:textId="41D6FA07" w:rsidR="00431C22" w:rsidRPr="002805A4" w:rsidRDefault="00431C22" w:rsidP="002805A4">
      <w:pPr>
        <w:pStyle w:val="p2"/>
        <w:numPr>
          <w:ilvl w:val="0"/>
          <w:numId w:val="17"/>
        </w:numPr>
        <w:rPr>
          <w:sz w:val="24"/>
          <w:szCs w:val="24"/>
        </w:rPr>
      </w:pPr>
      <w:r w:rsidRPr="00431C22">
        <w:rPr>
          <w:rFonts w:ascii="Helvetica" w:hAnsi="Helvetica" w:cs="Helvetica"/>
          <w:color w:val="000000"/>
          <w:sz w:val="24"/>
          <w:szCs w:val="24"/>
          <w:lang w:val="en"/>
        </w:rPr>
        <w:t xml:space="preserve"> All patients should be on 81mg dose of Aspirin at 1 month post-transplant unless contraindicated.      </w:t>
      </w:r>
    </w:p>
    <w:p w14:paraId="49165ECD" w14:textId="20EF1459" w:rsidR="002805A4" w:rsidRDefault="00431C22" w:rsidP="002805A4">
      <w:pPr>
        <w:pStyle w:val="p2"/>
        <w:ind w:left="1080"/>
        <w:rPr>
          <w:sz w:val="24"/>
          <w:szCs w:val="24"/>
        </w:rPr>
      </w:pPr>
      <w:r w:rsidRPr="00431C22">
        <w:rPr>
          <w:sz w:val="24"/>
          <w:szCs w:val="24"/>
        </w:rPr>
        <w:t xml:space="preserve">Primary </w:t>
      </w:r>
      <w:r w:rsidR="002805A4">
        <w:rPr>
          <w:sz w:val="24"/>
          <w:szCs w:val="24"/>
        </w:rPr>
        <w:t>d</w:t>
      </w:r>
      <w:r w:rsidRPr="00431C22">
        <w:rPr>
          <w:sz w:val="24"/>
          <w:szCs w:val="24"/>
        </w:rPr>
        <w:t xml:space="preserve">yslipidemia management guideline should be followed as shown below: </w:t>
      </w:r>
    </w:p>
    <w:p w14:paraId="7A3FC2CC" w14:textId="4D185A90" w:rsidR="002805A4" w:rsidRPr="00431C22" w:rsidRDefault="002805A4" w:rsidP="00431C22">
      <w:pPr>
        <w:pStyle w:val="p2"/>
        <w:ind w:left="1080"/>
        <w:rPr>
          <w:sz w:val="24"/>
          <w:szCs w:val="24"/>
        </w:rPr>
      </w:pPr>
      <w:r>
        <w:rPr>
          <w:noProof/>
          <w:sz w:val="24"/>
          <w:szCs w:val="24"/>
        </w:rPr>
        <w:drawing>
          <wp:anchor distT="0" distB="0" distL="114300" distR="114300" simplePos="0" relativeHeight="251658240" behindDoc="1" locked="0" layoutInCell="1" allowOverlap="1" wp14:anchorId="077B18CF" wp14:editId="1CC0865B">
            <wp:simplePos x="0" y="0"/>
            <wp:positionH relativeFrom="column">
              <wp:posOffset>685800</wp:posOffset>
            </wp:positionH>
            <wp:positionV relativeFrom="paragraph">
              <wp:posOffset>0</wp:posOffset>
            </wp:positionV>
            <wp:extent cx="5373370" cy="4010025"/>
            <wp:effectExtent l="0" t="0" r="0" b="9525"/>
            <wp:wrapTight wrapText="bothSides">
              <wp:wrapPolygon edited="0">
                <wp:start x="0" y="0"/>
                <wp:lineTo x="0" y="21549"/>
                <wp:lineTo x="21518" y="21549"/>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3370" cy="4010025"/>
                    </a:xfrm>
                    <a:prstGeom prst="rect">
                      <a:avLst/>
                    </a:prstGeom>
                    <a:noFill/>
                  </pic:spPr>
                </pic:pic>
              </a:graphicData>
            </a:graphic>
            <wp14:sizeRelH relativeFrom="margin">
              <wp14:pctWidth>0</wp14:pctWidth>
            </wp14:sizeRelH>
            <wp14:sizeRelV relativeFrom="margin">
              <wp14:pctHeight>0</wp14:pctHeight>
            </wp14:sizeRelV>
          </wp:anchor>
        </w:drawing>
      </w:r>
    </w:p>
    <w:p w14:paraId="078D422E" w14:textId="77777777" w:rsidR="00431C22" w:rsidRPr="00A879DD" w:rsidRDefault="00431C22" w:rsidP="00A879DD">
      <w:pPr>
        <w:ind w:left="720" w:hanging="720"/>
        <w:rPr>
          <w:rFonts w:ascii="Arial" w:hAnsi="Arial" w:cs="Arial"/>
        </w:rPr>
      </w:pPr>
    </w:p>
    <w:p w14:paraId="3A6C4405" w14:textId="77777777" w:rsidR="002805A4" w:rsidRDefault="002805A4" w:rsidP="002805A4">
      <w:pPr>
        <w:pStyle w:val="p2"/>
        <w:ind w:left="1080"/>
      </w:pPr>
    </w:p>
    <w:p w14:paraId="667A4004" w14:textId="77777777" w:rsidR="002805A4" w:rsidRDefault="002805A4" w:rsidP="002805A4">
      <w:pPr>
        <w:pStyle w:val="p2"/>
        <w:ind w:left="1080"/>
      </w:pPr>
    </w:p>
    <w:p w14:paraId="7AF6CF3D" w14:textId="77777777" w:rsidR="002805A4" w:rsidRDefault="002805A4" w:rsidP="002805A4">
      <w:pPr>
        <w:pStyle w:val="p2"/>
        <w:ind w:left="1080"/>
      </w:pPr>
    </w:p>
    <w:p w14:paraId="697945AD" w14:textId="77777777" w:rsidR="002805A4" w:rsidRDefault="002805A4" w:rsidP="002805A4">
      <w:pPr>
        <w:pStyle w:val="p2"/>
        <w:ind w:left="1080"/>
      </w:pPr>
    </w:p>
    <w:p w14:paraId="6C72FB0D" w14:textId="77777777" w:rsidR="002805A4" w:rsidRDefault="002805A4" w:rsidP="002805A4">
      <w:pPr>
        <w:pStyle w:val="p2"/>
        <w:ind w:left="1080"/>
      </w:pPr>
    </w:p>
    <w:p w14:paraId="12160F92" w14:textId="77777777" w:rsidR="002805A4" w:rsidRDefault="002805A4" w:rsidP="002805A4">
      <w:pPr>
        <w:pStyle w:val="p2"/>
        <w:ind w:left="1080"/>
      </w:pPr>
    </w:p>
    <w:p w14:paraId="7360129A" w14:textId="77777777" w:rsidR="002805A4" w:rsidRDefault="002805A4" w:rsidP="002805A4">
      <w:pPr>
        <w:pStyle w:val="p2"/>
        <w:ind w:left="1080"/>
      </w:pPr>
    </w:p>
    <w:p w14:paraId="47B6917C" w14:textId="77777777" w:rsidR="002805A4" w:rsidRDefault="002805A4" w:rsidP="002805A4">
      <w:pPr>
        <w:pStyle w:val="p2"/>
        <w:ind w:left="1080"/>
      </w:pPr>
    </w:p>
    <w:p w14:paraId="41F81F7C" w14:textId="77777777" w:rsidR="002805A4" w:rsidRDefault="002805A4" w:rsidP="002805A4">
      <w:pPr>
        <w:pStyle w:val="p2"/>
        <w:ind w:left="1080"/>
      </w:pPr>
    </w:p>
    <w:p w14:paraId="66DC9EED" w14:textId="77777777" w:rsidR="002805A4" w:rsidRDefault="002805A4" w:rsidP="002805A4">
      <w:pPr>
        <w:pStyle w:val="p2"/>
        <w:ind w:left="1080"/>
      </w:pPr>
    </w:p>
    <w:p w14:paraId="38C9E3DB" w14:textId="77777777" w:rsidR="002805A4" w:rsidRDefault="002805A4" w:rsidP="002805A4">
      <w:pPr>
        <w:pStyle w:val="p2"/>
        <w:ind w:left="1080"/>
      </w:pPr>
    </w:p>
    <w:p w14:paraId="343728C4" w14:textId="77777777" w:rsidR="002805A4" w:rsidRDefault="002805A4" w:rsidP="002805A4">
      <w:pPr>
        <w:pStyle w:val="p2"/>
        <w:ind w:left="1080"/>
      </w:pPr>
    </w:p>
    <w:p w14:paraId="4323C9BC" w14:textId="77777777" w:rsidR="002805A4" w:rsidRDefault="002805A4" w:rsidP="002805A4">
      <w:pPr>
        <w:pStyle w:val="p2"/>
        <w:ind w:left="1080"/>
      </w:pPr>
    </w:p>
    <w:p w14:paraId="4EFF05AA" w14:textId="77777777" w:rsidR="002805A4" w:rsidRDefault="002805A4" w:rsidP="002805A4">
      <w:pPr>
        <w:pStyle w:val="p2"/>
        <w:ind w:left="1080"/>
      </w:pPr>
    </w:p>
    <w:p w14:paraId="288938D4" w14:textId="77777777" w:rsidR="002805A4" w:rsidRDefault="002805A4" w:rsidP="002805A4">
      <w:pPr>
        <w:pStyle w:val="p2"/>
        <w:ind w:left="1080"/>
      </w:pPr>
    </w:p>
    <w:p w14:paraId="3355F056" w14:textId="77777777" w:rsidR="002805A4" w:rsidRDefault="002805A4" w:rsidP="002805A4">
      <w:pPr>
        <w:pStyle w:val="p2"/>
        <w:ind w:left="1080"/>
      </w:pPr>
    </w:p>
    <w:p w14:paraId="02F1EC7C" w14:textId="77777777" w:rsidR="002805A4" w:rsidRDefault="002805A4" w:rsidP="002805A4">
      <w:pPr>
        <w:pStyle w:val="p2"/>
        <w:ind w:left="1080"/>
      </w:pPr>
    </w:p>
    <w:p w14:paraId="6F42A486" w14:textId="77777777" w:rsidR="002805A4" w:rsidRDefault="002805A4" w:rsidP="002805A4">
      <w:pPr>
        <w:pStyle w:val="p2"/>
        <w:ind w:left="1080"/>
      </w:pPr>
    </w:p>
    <w:p w14:paraId="7DD4BC31" w14:textId="77777777" w:rsidR="002805A4" w:rsidRDefault="002805A4" w:rsidP="002805A4">
      <w:pPr>
        <w:pStyle w:val="p2"/>
        <w:ind w:left="1080"/>
      </w:pPr>
      <w:r>
        <w:t xml:space="preserve">Source: </w:t>
      </w:r>
      <w:r w:rsidRPr="00F15AEB">
        <w:t>2019 ACC/AHA Guideline on the Primary Prevention of Cardiovascular Diseas</w:t>
      </w:r>
      <w:r>
        <w:t>e</w:t>
      </w:r>
    </w:p>
    <w:p w14:paraId="13AB6EFE" w14:textId="567D702C" w:rsidR="002805A4" w:rsidRPr="008201C5" w:rsidRDefault="002805A4" w:rsidP="008201C5">
      <w:pPr>
        <w:pStyle w:val="p2"/>
        <w:numPr>
          <w:ilvl w:val="0"/>
          <w:numId w:val="16"/>
        </w:numPr>
        <w:rPr>
          <w:sz w:val="24"/>
          <w:szCs w:val="24"/>
        </w:rPr>
      </w:pPr>
      <w:r w:rsidRPr="008201C5">
        <w:rPr>
          <w:b/>
          <w:sz w:val="24"/>
          <w:szCs w:val="24"/>
          <w:u w:val="single"/>
        </w:rPr>
        <w:t>Secondary Prevention of Cardiovascular Disease</w:t>
      </w:r>
      <w:r w:rsidR="008201C5">
        <w:rPr>
          <w:sz w:val="24"/>
          <w:szCs w:val="24"/>
        </w:rPr>
        <w:t xml:space="preserve">: </w:t>
      </w:r>
      <w:r w:rsidRPr="008201C5">
        <w:rPr>
          <w:color w:val="000000"/>
          <w:sz w:val="24"/>
          <w:szCs w:val="24"/>
          <w:lang w:val="en"/>
        </w:rPr>
        <w:t>High-intensity statin therapy, if tolerated, is indicated if patient has clinical ASCVD (i</w:t>
      </w:r>
      <w:r w:rsidR="008201C5">
        <w:rPr>
          <w:color w:val="000000"/>
          <w:sz w:val="24"/>
          <w:szCs w:val="24"/>
          <w:lang w:val="en"/>
        </w:rPr>
        <w:t>.</w:t>
      </w:r>
      <w:r w:rsidRPr="008201C5">
        <w:rPr>
          <w:color w:val="000000"/>
          <w:sz w:val="24"/>
          <w:szCs w:val="24"/>
          <w:lang w:val="en"/>
        </w:rPr>
        <w:t>e. ACS, those with history of MI, stable or unstable angina or coronary or other arterial revascularization, stroke, TIA or PAD including aortic aneurysm, all of atherosclerotic origin).</w:t>
      </w:r>
    </w:p>
    <w:p w14:paraId="32CDC105" w14:textId="77777777" w:rsidR="002805A4" w:rsidRPr="008201C5" w:rsidRDefault="002805A4" w:rsidP="002805A4">
      <w:pPr>
        <w:pStyle w:val="p2"/>
        <w:numPr>
          <w:ilvl w:val="0"/>
          <w:numId w:val="18"/>
        </w:numPr>
        <w:rPr>
          <w:color w:val="000000"/>
          <w:sz w:val="24"/>
          <w:szCs w:val="24"/>
          <w:lang w:val="en"/>
        </w:rPr>
      </w:pPr>
      <w:r w:rsidRPr="008201C5">
        <w:rPr>
          <w:color w:val="000000"/>
          <w:sz w:val="24"/>
          <w:szCs w:val="24"/>
          <w:lang w:val="en"/>
        </w:rPr>
        <w:t>If LDL-C levels remains ≥70 mg/</w:t>
      </w:r>
      <w:proofErr w:type="spellStart"/>
      <w:r w:rsidRPr="008201C5">
        <w:rPr>
          <w:color w:val="000000"/>
          <w:sz w:val="24"/>
          <w:szCs w:val="24"/>
          <w:lang w:val="en"/>
        </w:rPr>
        <w:t>dL</w:t>
      </w:r>
      <w:proofErr w:type="spellEnd"/>
      <w:r w:rsidRPr="008201C5">
        <w:rPr>
          <w:color w:val="000000"/>
          <w:sz w:val="24"/>
          <w:szCs w:val="24"/>
          <w:lang w:val="en"/>
        </w:rPr>
        <w:t xml:space="preserve"> (≥1.8 </w:t>
      </w:r>
      <w:proofErr w:type="spellStart"/>
      <w:r w:rsidRPr="008201C5">
        <w:rPr>
          <w:color w:val="000000"/>
          <w:sz w:val="24"/>
          <w:szCs w:val="24"/>
          <w:lang w:val="en"/>
        </w:rPr>
        <w:t>mmol</w:t>
      </w:r>
      <w:proofErr w:type="spellEnd"/>
      <w:r w:rsidRPr="008201C5">
        <w:rPr>
          <w:color w:val="000000"/>
          <w:sz w:val="24"/>
          <w:szCs w:val="24"/>
          <w:lang w:val="en"/>
        </w:rPr>
        <w:t>/L) on maximally tolerated statin therapy, adding ezetimibe may be reasonable.</w:t>
      </w:r>
    </w:p>
    <w:p w14:paraId="1A729FE1" w14:textId="77777777" w:rsidR="002805A4" w:rsidRPr="008201C5" w:rsidRDefault="002805A4" w:rsidP="002805A4">
      <w:pPr>
        <w:pStyle w:val="p2"/>
        <w:numPr>
          <w:ilvl w:val="0"/>
          <w:numId w:val="18"/>
        </w:numPr>
        <w:rPr>
          <w:color w:val="000000"/>
          <w:sz w:val="24"/>
          <w:szCs w:val="24"/>
          <w:lang w:val="en"/>
        </w:rPr>
      </w:pPr>
      <w:r w:rsidRPr="008201C5">
        <w:rPr>
          <w:color w:val="000000"/>
          <w:sz w:val="24"/>
          <w:szCs w:val="24"/>
          <w:lang w:val="en"/>
        </w:rPr>
        <w:t xml:space="preserve">Low dose Aspirin is recommended for secondary prevention of ASCVD. </w:t>
      </w:r>
    </w:p>
    <w:p w14:paraId="1A620A84" w14:textId="77777777" w:rsidR="00A879DD" w:rsidRDefault="00A879DD" w:rsidP="00F42056">
      <w:pPr>
        <w:ind w:left="720" w:hanging="720"/>
        <w:rPr>
          <w:rFonts w:ascii="Arial" w:hAnsi="Arial" w:cs="Arial"/>
        </w:rPr>
      </w:pPr>
    </w:p>
    <w:p w14:paraId="132C8ABB" w14:textId="03C6993F" w:rsidR="00D31825" w:rsidRPr="00195DF3" w:rsidRDefault="0018574A" w:rsidP="00D82ADA">
      <w:pPr>
        <w:rPr>
          <w:rFonts w:ascii="Arial" w:hAnsi="Arial" w:cs="Arial"/>
        </w:rPr>
      </w:pPr>
      <w:r w:rsidRPr="0019168D">
        <w:rPr>
          <w:rFonts w:ascii="Arial" w:hAnsi="Arial" w:cs="Arial"/>
          <w:b/>
          <w:u w:val="single"/>
        </w:rPr>
        <w:t xml:space="preserve">RELATED </w:t>
      </w:r>
      <w:r w:rsidR="001F3959">
        <w:rPr>
          <w:rFonts w:ascii="Arial" w:hAnsi="Arial" w:cs="Arial"/>
          <w:b/>
          <w:u w:val="single"/>
        </w:rPr>
        <w:t>POLICIES / PROCEDURE</w:t>
      </w:r>
      <w:r w:rsidR="00C05CA7">
        <w:rPr>
          <w:rFonts w:ascii="Arial" w:hAnsi="Arial" w:cs="Arial"/>
          <w:b/>
          <w:u w:val="single"/>
        </w:rPr>
        <w:t>S:</w:t>
      </w:r>
      <w:r w:rsidR="00195DF3">
        <w:rPr>
          <w:rFonts w:ascii="Arial" w:hAnsi="Arial" w:cs="Arial"/>
        </w:rPr>
        <w:t xml:space="preserve">  N/A</w:t>
      </w:r>
    </w:p>
    <w:p w14:paraId="4A160FAC" w14:textId="77777777" w:rsidR="00E738BE" w:rsidRDefault="00E738BE" w:rsidP="006F1E72">
      <w:pPr>
        <w:pStyle w:val="ListParagraph"/>
        <w:ind w:left="0"/>
        <w:rPr>
          <w:rFonts w:ascii="Arial" w:hAnsi="Arial" w:cs="Arial"/>
        </w:rPr>
      </w:pPr>
    </w:p>
    <w:p w14:paraId="0A4B29F7" w14:textId="77777777" w:rsidR="006F1E72" w:rsidRPr="00480796" w:rsidRDefault="006F1E72" w:rsidP="006F1E72">
      <w:pPr>
        <w:pStyle w:val="ListParagraph"/>
        <w:ind w:left="0"/>
        <w:rPr>
          <w:rFonts w:ascii="Arial" w:hAnsi="Arial" w:cs="Arial"/>
        </w:rPr>
      </w:pPr>
    </w:p>
    <w:p w14:paraId="5A43D9AD" w14:textId="7F5938EE" w:rsidR="00D82ADA" w:rsidRPr="0019168D" w:rsidRDefault="00D82ADA" w:rsidP="00D82ADA">
      <w:pPr>
        <w:rPr>
          <w:rFonts w:ascii="Arial" w:hAnsi="Arial" w:cs="Arial"/>
        </w:rPr>
      </w:pPr>
      <w:r w:rsidRPr="0019168D">
        <w:rPr>
          <w:rFonts w:ascii="Arial" w:hAnsi="Arial" w:cs="Arial"/>
          <w:b/>
          <w:u w:val="single"/>
        </w:rPr>
        <w:t>DEFINITIONS</w:t>
      </w:r>
      <w:r w:rsidR="0019168D">
        <w:rPr>
          <w:rFonts w:ascii="Arial" w:hAnsi="Arial" w:cs="Arial"/>
          <w:b/>
          <w:u w:val="single"/>
        </w:rPr>
        <w:t>:</w:t>
      </w:r>
      <w:r w:rsidR="00A973EE" w:rsidRPr="00A96893">
        <w:rPr>
          <w:rFonts w:ascii="Arial" w:hAnsi="Arial" w:cs="Arial"/>
        </w:rPr>
        <w:t xml:space="preserve"> </w:t>
      </w:r>
      <w:r w:rsidR="00451C7D">
        <w:rPr>
          <w:rFonts w:ascii="Arial" w:hAnsi="Arial" w:cs="Arial"/>
        </w:rPr>
        <w:t xml:space="preserve"> N/A</w:t>
      </w:r>
    </w:p>
    <w:p w14:paraId="04D0578C" w14:textId="77777777" w:rsidR="00F42056" w:rsidRDefault="00F42056" w:rsidP="00D82ADA">
      <w:pPr>
        <w:rPr>
          <w:rFonts w:ascii="Arial" w:hAnsi="Arial" w:cs="Arial"/>
        </w:rPr>
      </w:pPr>
    </w:p>
    <w:p w14:paraId="49807A6C" w14:textId="77777777" w:rsidR="006F1E72" w:rsidRPr="00120DE3" w:rsidRDefault="006F1E72" w:rsidP="00D82ADA">
      <w:pPr>
        <w:rPr>
          <w:rFonts w:ascii="Arial" w:hAnsi="Arial" w:cs="Arial"/>
        </w:rPr>
      </w:pPr>
    </w:p>
    <w:p w14:paraId="47BB4178" w14:textId="77777777" w:rsidR="00A973EE" w:rsidRDefault="00A973EE" w:rsidP="00D82ADA">
      <w:pPr>
        <w:rPr>
          <w:rFonts w:ascii="Arial" w:hAnsi="Arial" w:cs="Arial"/>
          <w:b/>
          <w:u w:val="single"/>
        </w:rPr>
      </w:pPr>
      <w:r w:rsidRPr="0019168D">
        <w:rPr>
          <w:rFonts w:ascii="Arial" w:hAnsi="Arial" w:cs="Arial"/>
          <w:b/>
          <w:u w:val="single"/>
        </w:rPr>
        <w:t>REFERENCES AND SOURCES OF EVIDENCE</w:t>
      </w:r>
      <w:r w:rsidR="0019168D" w:rsidRPr="0019168D">
        <w:rPr>
          <w:rFonts w:ascii="Arial" w:hAnsi="Arial" w:cs="Arial"/>
          <w:b/>
          <w:u w:val="single"/>
        </w:rPr>
        <w:t>:</w:t>
      </w:r>
    </w:p>
    <w:p w14:paraId="3236146B" w14:textId="77777777" w:rsidR="00A879DD" w:rsidRDefault="00A879DD" w:rsidP="00D82ADA">
      <w:pPr>
        <w:rPr>
          <w:rFonts w:ascii="Arial" w:hAnsi="Arial" w:cs="Arial"/>
        </w:rPr>
      </w:pPr>
    </w:p>
    <w:p w14:paraId="14506F5E" w14:textId="77777777" w:rsidR="002805A4" w:rsidRPr="008B7FEE" w:rsidRDefault="002805A4" w:rsidP="002805A4">
      <w:pPr>
        <w:rPr>
          <w:rFonts w:ascii="Arial" w:hAnsi="Arial" w:cs="Arial"/>
          <w:b/>
        </w:rPr>
      </w:pPr>
      <w:r w:rsidRPr="008B7FEE">
        <w:rPr>
          <w:rFonts w:ascii="Arial" w:hAnsi="Arial" w:cs="Arial"/>
          <w:b/>
        </w:rPr>
        <w:t>ASCVD Risk Estimator:</w:t>
      </w:r>
    </w:p>
    <w:p w14:paraId="6CCD1E45" w14:textId="77777777" w:rsidR="002805A4" w:rsidRDefault="00D8320A" w:rsidP="002805A4">
      <w:pPr>
        <w:pStyle w:val="p2"/>
        <w:ind w:left="1080"/>
      </w:pPr>
      <w:hyperlink r:id="rId10" w:anchor="!/calulate/estimator/" w:history="1">
        <w:r w:rsidR="002805A4" w:rsidRPr="00F947A7">
          <w:rPr>
            <w:rStyle w:val="Hyperlink"/>
          </w:rPr>
          <w:t>http://tools.acc.org/ldl/ascvd_risk_estimator/index.html#!/calulate/estimator/</w:t>
        </w:r>
      </w:hyperlink>
    </w:p>
    <w:p w14:paraId="1064482B" w14:textId="77777777" w:rsidR="002805A4" w:rsidRDefault="002805A4" w:rsidP="002805A4">
      <w:pPr>
        <w:pStyle w:val="p2"/>
        <w:ind w:left="1080"/>
      </w:pPr>
    </w:p>
    <w:p w14:paraId="4F795674" w14:textId="77777777" w:rsidR="002805A4" w:rsidRPr="002805A4" w:rsidRDefault="002805A4" w:rsidP="002805A4">
      <w:pPr>
        <w:rPr>
          <w:rFonts w:ascii="Arial" w:hAnsi="Arial" w:cs="Arial"/>
        </w:rPr>
      </w:pPr>
      <w:r w:rsidRPr="002805A4">
        <w:rPr>
          <w:rFonts w:ascii="Arial" w:hAnsi="Arial" w:cs="Arial"/>
        </w:rPr>
        <w:t xml:space="preserve">Donna K. Arnett. Circulation. 2019 ACC/AHA Guideline on the Primary Prevention of Cardiovascular Disease: A Report of the American College of Cardiology/American Heart Association Task Force on Clinical Practice Guidelines, Volume: 140, Issue: 11, Pages: e596-e646, DOI: (10.1161/CIR.0000000000000678) </w:t>
      </w:r>
    </w:p>
    <w:p w14:paraId="7CF67089" w14:textId="77777777" w:rsidR="002805A4" w:rsidRPr="002805A4" w:rsidRDefault="002805A4" w:rsidP="002805A4">
      <w:pPr>
        <w:rPr>
          <w:rFonts w:ascii="Arial" w:hAnsi="Arial" w:cs="Arial"/>
        </w:rPr>
      </w:pPr>
      <w:r w:rsidRPr="002805A4" w:rsidDel="0007411A">
        <w:rPr>
          <w:rFonts w:ascii="Arial" w:hAnsi="Arial" w:cs="Arial"/>
        </w:rPr>
        <w:t xml:space="preserve"> </w:t>
      </w:r>
    </w:p>
    <w:p w14:paraId="15483427" w14:textId="6D340FEC" w:rsidR="002805A4" w:rsidRPr="002805A4" w:rsidRDefault="002805A4" w:rsidP="002805A4">
      <w:pPr>
        <w:rPr>
          <w:rFonts w:ascii="Arial" w:hAnsi="Arial" w:cs="Arial"/>
        </w:rPr>
      </w:pPr>
      <w:r w:rsidRPr="002805A4">
        <w:rPr>
          <w:rFonts w:ascii="Arial" w:hAnsi="Arial" w:cs="Arial"/>
        </w:rPr>
        <w:t>Sco</w:t>
      </w:r>
      <w:r w:rsidR="008201C5">
        <w:rPr>
          <w:rFonts w:ascii="Arial" w:hAnsi="Arial" w:cs="Arial"/>
        </w:rPr>
        <w:t xml:space="preserve">tt M. Grundy. Circulation. 2018 </w:t>
      </w:r>
      <w:r w:rsidRPr="002805A4">
        <w:rPr>
          <w:rFonts w:ascii="Arial" w:hAnsi="Arial" w:cs="Arial"/>
        </w:rPr>
        <w:t>AHA/ACC/AACVPR/AAPA/ABC/ACPM/ADA/AGS/</w:t>
      </w:r>
      <w:proofErr w:type="spellStart"/>
      <w:r w:rsidRPr="002805A4">
        <w:rPr>
          <w:rFonts w:ascii="Arial" w:hAnsi="Arial" w:cs="Arial"/>
        </w:rPr>
        <w:t>APhA</w:t>
      </w:r>
      <w:proofErr w:type="spellEnd"/>
      <w:r w:rsidRPr="002805A4">
        <w:rPr>
          <w:rFonts w:ascii="Arial" w:hAnsi="Arial" w:cs="Arial"/>
        </w:rPr>
        <w:t xml:space="preserve">/ASPC/NLA/PCNA Guideline on the Management of Blood Cholesterol: A Report of the American College of Cardiology/American Heart Association Task Force on Clinical Practice Guidelines, Volume: 139, Issue: 25, Pages: e1082-e1143, DOI: (10.1161/CIR.0000000000000625) </w:t>
      </w:r>
    </w:p>
    <w:p w14:paraId="40FF1188" w14:textId="77777777" w:rsidR="002805A4" w:rsidRDefault="002805A4" w:rsidP="00D82ADA">
      <w:pPr>
        <w:rPr>
          <w:rFonts w:ascii="Arial" w:hAnsi="Arial" w:cs="Arial"/>
        </w:rPr>
      </w:pPr>
    </w:p>
    <w:p w14:paraId="5FBA2DD4" w14:textId="77777777" w:rsidR="00A879DD" w:rsidRPr="00A879DD" w:rsidRDefault="00A879DD" w:rsidP="00D82ADA">
      <w:pPr>
        <w:rPr>
          <w:rFonts w:ascii="Arial" w:hAnsi="Arial" w:cs="Arial"/>
        </w:rPr>
      </w:pPr>
    </w:p>
    <w:p w14:paraId="4C1C9072" w14:textId="0153C8D9" w:rsidR="00A973EE" w:rsidRPr="00363DB3" w:rsidRDefault="005E39CF" w:rsidP="00D82ADA">
      <w:pPr>
        <w:rPr>
          <w:rFonts w:ascii="Arial" w:hAnsi="Arial" w:cs="Arial"/>
        </w:rPr>
      </w:pPr>
      <w:r w:rsidRPr="005E39CF">
        <w:rPr>
          <w:rFonts w:ascii="Arial" w:hAnsi="Arial" w:cs="Arial"/>
          <w:b/>
          <w:u w:val="single"/>
        </w:rPr>
        <w:t>KEY WORDS:</w:t>
      </w:r>
      <w:r w:rsidR="00363DB3">
        <w:rPr>
          <w:rFonts w:ascii="Arial" w:hAnsi="Arial" w:cs="Arial"/>
        </w:rPr>
        <w:t xml:space="preserve"> </w:t>
      </w:r>
      <w:r w:rsidR="008201C5">
        <w:rPr>
          <w:rFonts w:ascii="Arial" w:hAnsi="Arial" w:cs="Arial"/>
        </w:rPr>
        <w:t>cardiovascular risk, atherosclerosis, hypertension, dyslipidemia, cholesterol, diabetes</w:t>
      </w:r>
    </w:p>
    <w:p w14:paraId="5C17203A" w14:textId="77777777" w:rsidR="006F1E72" w:rsidRDefault="006F1E72" w:rsidP="00D82ADA">
      <w:pPr>
        <w:rPr>
          <w:rFonts w:ascii="Arial" w:hAnsi="Arial" w:cs="Arial"/>
          <w:b/>
          <w:u w:val="single"/>
        </w:rPr>
      </w:pPr>
    </w:p>
    <w:sectPr w:rsidR="006F1E72" w:rsidSect="00D82AD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76F03" w14:textId="77777777" w:rsidR="00480796" w:rsidRDefault="00480796" w:rsidP="00401E3E">
      <w:r>
        <w:separator/>
      </w:r>
    </w:p>
  </w:endnote>
  <w:endnote w:type="continuationSeparator" w:id="0">
    <w:p w14:paraId="5117EA2E" w14:textId="77777777" w:rsidR="00480796" w:rsidRDefault="00480796"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TPRZ J+ Times New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8C0C" w14:textId="77777777" w:rsidR="00A879DD" w:rsidRDefault="00A879DD" w:rsidP="00A879DD">
    <w:pPr>
      <w:pStyle w:val="Footer"/>
      <w:rPr>
        <w:rFonts w:ascii="Arial" w:hAnsi="Arial" w:cs="Arial"/>
        <w:sz w:val="16"/>
        <w:szCs w:val="16"/>
      </w:rPr>
    </w:pPr>
  </w:p>
  <w:p w14:paraId="70B59F82" w14:textId="276C1886" w:rsidR="00480796" w:rsidRPr="00A879DD" w:rsidRDefault="00A879DD" w:rsidP="00A879DD">
    <w:pPr>
      <w:pStyle w:val="Footer"/>
    </w:pPr>
    <w:r w:rsidRPr="00A879DD">
      <w:rPr>
        <w:rFonts w:ascii="Arial" w:hAnsi="Arial" w:cs="Arial"/>
        <w:sz w:val="16"/>
        <w:szCs w:val="16"/>
      </w:rPr>
      <w:t>Kidney</w:t>
    </w:r>
    <w:r w:rsidR="00600A30">
      <w:rPr>
        <w:rFonts w:ascii="Arial" w:hAnsi="Arial" w:cs="Arial"/>
        <w:sz w:val="16"/>
        <w:szCs w:val="16"/>
      </w:rPr>
      <w:t xml:space="preserve"> and </w:t>
    </w:r>
    <w:r w:rsidRPr="00A879DD">
      <w:rPr>
        <w:rFonts w:ascii="Arial" w:hAnsi="Arial" w:cs="Arial"/>
        <w:sz w:val="16"/>
        <w:szCs w:val="16"/>
      </w:rPr>
      <w:t>Pancreas Post-transplant</w:t>
    </w:r>
    <w:r w:rsidRPr="00A879DD">
      <w:rPr>
        <w:rFonts w:ascii="Arial" w:hAnsi="Arial" w:cs="Arial"/>
        <w:bCs/>
        <w:sz w:val="16"/>
        <w:szCs w:val="16"/>
      </w:rPr>
      <w:t xml:space="preserve"> Cardiovascular Risk Reduction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B850F" w14:textId="77777777" w:rsidR="00480796" w:rsidRDefault="00480796" w:rsidP="00401E3E">
      <w:r>
        <w:separator/>
      </w:r>
    </w:p>
  </w:footnote>
  <w:footnote w:type="continuationSeparator" w:id="0">
    <w:p w14:paraId="31F3FDC3" w14:textId="77777777" w:rsidR="00480796" w:rsidRDefault="00480796" w:rsidP="0040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0C19" w14:textId="42BA9A12" w:rsidR="00480796" w:rsidRPr="00120DE3" w:rsidRDefault="00480796" w:rsidP="00120DE3">
    <w:pPr>
      <w:rPr>
        <w:rFonts w:ascii="Arial" w:hAnsi="Arial" w:cs="Arial"/>
      </w:rPr>
    </w:pPr>
    <w:r w:rsidRPr="00120DE3">
      <w:rPr>
        <w:noProof/>
      </w:rPr>
      <w:drawing>
        <wp:inline distT="0" distB="0" distL="0" distR="0" wp14:anchorId="33490B4F" wp14:editId="1443A8B9">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14:paraId="7501EBC7" w14:textId="77777777" w:rsidR="00480796" w:rsidRPr="00120DE3" w:rsidRDefault="0048079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02"/>
    <w:multiLevelType w:val="hybridMultilevel"/>
    <w:tmpl w:val="FC58644A"/>
    <w:lvl w:ilvl="0" w:tplc="5A222BA6">
      <w:start w:val="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4971"/>
    <w:multiLevelType w:val="hybridMultilevel"/>
    <w:tmpl w:val="66AE7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D7C93"/>
    <w:multiLevelType w:val="hybridMultilevel"/>
    <w:tmpl w:val="5E9E538E"/>
    <w:lvl w:ilvl="0" w:tplc="8786A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41D93"/>
    <w:multiLevelType w:val="hybridMultilevel"/>
    <w:tmpl w:val="1F9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14115"/>
    <w:multiLevelType w:val="hybridMultilevel"/>
    <w:tmpl w:val="0EE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267E4"/>
    <w:multiLevelType w:val="hybridMultilevel"/>
    <w:tmpl w:val="BC2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46C84"/>
    <w:multiLevelType w:val="hybridMultilevel"/>
    <w:tmpl w:val="8D882B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CC2C9B"/>
    <w:multiLevelType w:val="hybridMultilevel"/>
    <w:tmpl w:val="02863FD8"/>
    <w:lvl w:ilvl="0" w:tplc="90823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20CED"/>
    <w:multiLevelType w:val="hybridMultilevel"/>
    <w:tmpl w:val="03A88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B6C9F"/>
    <w:multiLevelType w:val="hybridMultilevel"/>
    <w:tmpl w:val="64C2F182"/>
    <w:lvl w:ilvl="0" w:tplc="811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C4A0A"/>
    <w:multiLevelType w:val="hybridMultilevel"/>
    <w:tmpl w:val="53160878"/>
    <w:lvl w:ilvl="0" w:tplc="C4E8AF8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B43E6E"/>
    <w:multiLevelType w:val="hybridMultilevel"/>
    <w:tmpl w:val="7C36A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951EA6"/>
    <w:multiLevelType w:val="hybridMultilevel"/>
    <w:tmpl w:val="910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45343"/>
    <w:multiLevelType w:val="hybridMultilevel"/>
    <w:tmpl w:val="93D27CEE"/>
    <w:lvl w:ilvl="0" w:tplc="8C807D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5671F"/>
    <w:multiLevelType w:val="hybridMultilevel"/>
    <w:tmpl w:val="385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E3764"/>
    <w:multiLevelType w:val="hybridMultilevel"/>
    <w:tmpl w:val="C4D24B92"/>
    <w:lvl w:ilvl="0" w:tplc="C2164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41CFC"/>
    <w:multiLevelType w:val="hybridMultilevel"/>
    <w:tmpl w:val="275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E0DB4"/>
    <w:multiLevelType w:val="hybridMultilevel"/>
    <w:tmpl w:val="101A0D16"/>
    <w:lvl w:ilvl="0" w:tplc="2FF06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83645"/>
    <w:multiLevelType w:val="hybridMultilevel"/>
    <w:tmpl w:val="7A767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C433CF"/>
    <w:multiLevelType w:val="hybridMultilevel"/>
    <w:tmpl w:val="84D4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3"/>
  </w:num>
  <w:num w:numId="5">
    <w:abstractNumId w:val="19"/>
  </w:num>
  <w:num w:numId="6">
    <w:abstractNumId w:val="5"/>
  </w:num>
  <w:num w:numId="7">
    <w:abstractNumId w:val="12"/>
  </w:num>
  <w:num w:numId="8">
    <w:abstractNumId w:val="14"/>
  </w:num>
  <w:num w:numId="9">
    <w:abstractNumId w:val="17"/>
  </w:num>
  <w:num w:numId="10">
    <w:abstractNumId w:val="15"/>
  </w:num>
  <w:num w:numId="11">
    <w:abstractNumId w:val="9"/>
  </w:num>
  <w:num w:numId="12">
    <w:abstractNumId w:val="13"/>
  </w:num>
  <w:num w:numId="13">
    <w:abstractNumId w:val="8"/>
  </w:num>
  <w:num w:numId="14">
    <w:abstractNumId w:val="10"/>
  </w:num>
  <w:num w:numId="15">
    <w:abstractNumId w:val="2"/>
  </w:num>
  <w:num w:numId="16">
    <w:abstractNumId w:val="7"/>
  </w:num>
  <w:num w:numId="17">
    <w:abstractNumId w:val="1"/>
  </w:num>
  <w:num w:numId="18">
    <w:abstractNumId w:val="11"/>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DA"/>
    <w:rsid w:val="00023D62"/>
    <w:rsid w:val="000402D1"/>
    <w:rsid w:val="00045E70"/>
    <w:rsid w:val="00061A36"/>
    <w:rsid w:val="0007395E"/>
    <w:rsid w:val="0008689D"/>
    <w:rsid w:val="000B2B8C"/>
    <w:rsid w:val="000C5CA1"/>
    <w:rsid w:val="000E6894"/>
    <w:rsid w:val="000E7E6C"/>
    <w:rsid w:val="000F530B"/>
    <w:rsid w:val="00120DE3"/>
    <w:rsid w:val="00132810"/>
    <w:rsid w:val="00150BDD"/>
    <w:rsid w:val="001644D7"/>
    <w:rsid w:val="001713CF"/>
    <w:rsid w:val="0018574A"/>
    <w:rsid w:val="001864B9"/>
    <w:rsid w:val="0019168D"/>
    <w:rsid w:val="001921CD"/>
    <w:rsid w:val="00195DF3"/>
    <w:rsid w:val="001C53F2"/>
    <w:rsid w:val="001D310B"/>
    <w:rsid w:val="001F3959"/>
    <w:rsid w:val="001F57BC"/>
    <w:rsid w:val="00233309"/>
    <w:rsid w:val="00246CC9"/>
    <w:rsid w:val="0025127C"/>
    <w:rsid w:val="00256706"/>
    <w:rsid w:val="002748A1"/>
    <w:rsid w:val="002805A4"/>
    <w:rsid w:val="002D108E"/>
    <w:rsid w:val="002E271B"/>
    <w:rsid w:val="002F6E47"/>
    <w:rsid w:val="00333E04"/>
    <w:rsid w:val="00336321"/>
    <w:rsid w:val="00363DB3"/>
    <w:rsid w:val="00382155"/>
    <w:rsid w:val="00393227"/>
    <w:rsid w:val="003A4628"/>
    <w:rsid w:val="003B5761"/>
    <w:rsid w:val="003B7ECF"/>
    <w:rsid w:val="003C28C8"/>
    <w:rsid w:val="003C503D"/>
    <w:rsid w:val="003E6AFD"/>
    <w:rsid w:val="00401E3E"/>
    <w:rsid w:val="00403767"/>
    <w:rsid w:val="00410083"/>
    <w:rsid w:val="004126E0"/>
    <w:rsid w:val="00416B26"/>
    <w:rsid w:val="00431C22"/>
    <w:rsid w:val="00451C7D"/>
    <w:rsid w:val="00480796"/>
    <w:rsid w:val="004B1E9F"/>
    <w:rsid w:val="004B4F03"/>
    <w:rsid w:val="004C0BC9"/>
    <w:rsid w:val="00576F37"/>
    <w:rsid w:val="005819A1"/>
    <w:rsid w:val="00583551"/>
    <w:rsid w:val="005E39CF"/>
    <w:rsid w:val="00600A30"/>
    <w:rsid w:val="00603A28"/>
    <w:rsid w:val="00614208"/>
    <w:rsid w:val="00614AEB"/>
    <w:rsid w:val="00630583"/>
    <w:rsid w:val="00633FB9"/>
    <w:rsid w:val="0063520D"/>
    <w:rsid w:val="006D430A"/>
    <w:rsid w:val="006E1DF5"/>
    <w:rsid w:val="006E2CC2"/>
    <w:rsid w:val="006E75BD"/>
    <w:rsid w:val="006F1E72"/>
    <w:rsid w:val="006F63C5"/>
    <w:rsid w:val="00713C08"/>
    <w:rsid w:val="00715B6F"/>
    <w:rsid w:val="00734CC6"/>
    <w:rsid w:val="00757FDD"/>
    <w:rsid w:val="00760338"/>
    <w:rsid w:val="0079159D"/>
    <w:rsid w:val="007D511F"/>
    <w:rsid w:val="007F6768"/>
    <w:rsid w:val="00814D3F"/>
    <w:rsid w:val="008201C5"/>
    <w:rsid w:val="008241EB"/>
    <w:rsid w:val="00852000"/>
    <w:rsid w:val="00875DA7"/>
    <w:rsid w:val="0089061D"/>
    <w:rsid w:val="008D7768"/>
    <w:rsid w:val="009006C3"/>
    <w:rsid w:val="009604D2"/>
    <w:rsid w:val="00963E08"/>
    <w:rsid w:val="009A336F"/>
    <w:rsid w:val="009F5419"/>
    <w:rsid w:val="00A03BB9"/>
    <w:rsid w:val="00A37CE8"/>
    <w:rsid w:val="00A85449"/>
    <w:rsid w:val="00A879DD"/>
    <w:rsid w:val="00A96893"/>
    <w:rsid w:val="00A973EE"/>
    <w:rsid w:val="00AE1A4C"/>
    <w:rsid w:val="00B151A5"/>
    <w:rsid w:val="00B33F1F"/>
    <w:rsid w:val="00B73833"/>
    <w:rsid w:val="00B84D55"/>
    <w:rsid w:val="00BB723E"/>
    <w:rsid w:val="00BE1C28"/>
    <w:rsid w:val="00BF3DB6"/>
    <w:rsid w:val="00C05CA7"/>
    <w:rsid w:val="00C07430"/>
    <w:rsid w:val="00C252D6"/>
    <w:rsid w:val="00C30C5D"/>
    <w:rsid w:val="00C704C4"/>
    <w:rsid w:val="00C85AB2"/>
    <w:rsid w:val="00CC0464"/>
    <w:rsid w:val="00D31825"/>
    <w:rsid w:val="00D328E3"/>
    <w:rsid w:val="00D3467A"/>
    <w:rsid w:val="00D653C1"/>
    <w:rsid w:val="00D76767"/>
    <w:rsid w:val="00D77BEA"/>
    <w:rsid w:val="00D82ADA"/>
    <w:rsid w:val="00D8320A"/>
    <w:rsid w:val="00D877F7"/>
    <w:rsid w:val="00DA7796"/>
    <w:rsid w:val="00DB0275"/>
    <w:rsid w:val="00DB6E7A"/>
    <w:rsid w:val="00DD03E3"/>
    <w:rsid w:val="00DF0384"/>
    <w:rsid w:val="00DF5DAD"/>
    <w:rsid w:val="00E34C80"/>
    <w:rsid w:val="00E423C9"/>
    <w:rsid w:val="00E738BE"/>
    <w:rsid w:val="00E74684"/>
    <w:rsid w:val="00E90DA4"/>
    <w:rsid w:val="00EC0A28"/>
    <w:rsid w:val="00ED23B3"/>
    <w:rsid w:val="00EF6564"/>
    <w:rsid w:val="00F25CCE"/>
    <w:rsid w:val="00F31EFD"/>
    <w:rsid w:val="00F42056"/>
    <w:rsid w:val="00F5092F"/>
    <w:rsid w:val="00F50CD4"/>
    <w:rsid w:val="00F5301C"/>
    <w:rsid w:val="00F7188F"/>
    <w:rsid w:val="00F747D4"/>
    <w:rsid w:val="00F802BC"/>
    <w:rsid w:val="00F9095C"/>
    <w:rsid w:val="00FA31CD"/>
    <w:rsid w:val="00FF4440"/>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E809E2D"/>
  <w15:chartTrackingRefBased/>
  <w15:docId w15:val="{411E0384-AFEC-4A8E-8A7F-7CC984B9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34"/>
    <w:qFormat/>
    <w:rsid w:val="001C53F2"/>
    <w:pPr>
      <w:ind w:left="720"/>
      <w:contextualSpacing/>
    </w:pPr>
  </w:style>
  <w:style w:type="character" w:styleId="CommentReference">
    <w:name w:val="annotation reference"/>
    <w:basedOn w:val="DefaultParagraphFont"/>
    <w:rsid w:val="00F25CCE"/>
    <w:rPr>
      <w:sz w:val="16"/>
      <w:szCs w:val="16"/>
    </w:rPr>
  </w:style>
  <w:style w:type="paragraph" w:styleId="CommentText">
    <w:name w:val="annotation text"/>
    <w:basedOn w:val="Normal"/>
    <w:link w:val="CommentTextChar"/>
    <w:rsid w:val="00F25CCE"/>
    <w:rPr>
      <w:sz w:val="20"/>
      <w:szCs w:val="20"/>
    </w:rPr>
  </w:style>
  <w:style w:type="character" w:customStyle="1" w:styleId="CommentTextChar">
    <w:name w:val="Comment Text Char"/>
    <w:basedOn w:val="DefaultParagraphFont"/>
    <w:link w:val="CommentText"/>
    <w:rsid w:val="00F25CCE"/>
  </w:style>
  <w:style w:type="paragraph" w:styleId="CommentSubject">
    <w:name w:val="annotation subject"/>
    <w:basedOn w:val="CommentText"/>
    <w:next w:val="CommentText"/>
    <w:link w:val="CommentSubjectChar"/>
    <w:rsid w:val="00F25CCE"/>
    <w:rPr>
      <w:b/>
      <w:bCs/>
    </w:rPr>
  </w:style>
  <w:style w:type="character" w:customStyle="1" w:styleId="CommentSubjectChar">
    <w:name w:val="Comment Subject Char"/>
    <w:basedOn w:val="CommentTextChar"/>
    <w:link w:val="CommentSubject"/>
    <w:rsid w:val="00F25CCE"/>
    <w:rPr>
      <w:b/>
      <w:bCs/>
    </w:rPr>
  </w:style>
  <w:style w:type="character" w:styleId="Hyperlink">
    <w:name w:val="Hyperlink"/>
    <w:basedOn w:val="DefaultParagraphFont"/>
    <w:rsid w:val="00757FDD"/>
    <w:rPr>
      <w:color w:val="0563C1" w:themeColor="hyperlink"/>
      <w:u w:val="single"/>
    </w:rPr>
  </w:style>
  <w:style w:type="paragraph" w:customStyle="1" w:styleId="Default">
    <w:name w:val="Default"/>
    <w:rsid w:val="00757FDD"/>
    <w:pPr>
      <w:autoSpaceDE w:val="0"/>
      <w:autoSpaceDN w:val="0"/>
      <w:adjustRightInd w:val="0"/>
    </w:pPr>
    <w:rPr>
      <w:rFonts w:ascii="DTPRZ J+ Times New Roman," w:hAnsi="DTPRZ J+ Times New Roman," w:cs="DTPRZ J+ Times New Roman,"/>
      <w:color w:val="000000"/>
      <w:sz w:val="24"/>
      <w:szCs w:val="24"/>
    </w:rPr>
  </w:style>
  <w:style w:type="character" w:styleId="FollowedHyperlink">
    <w:name w:val="FollowedHyperlink"/>
    <w:basedOn w:val="DefaultParagraphFont"/>
    <w:rsid w:val="00757FDD"/>
    <w:rPr>
      <w:color w:val="954F72" w:themeColor="followedHyperlink"/>
      <w:u w:val="single"/>
    </w:rPr>
  </w:style>
  <w:style w:type="paragraph" w:customStyle="1" w:styleId="p2">
    <w:name w:val="p2"/>
    <w:basedOn w:val="Normal"/>
    <w:rsid w:val="00431C22"/>
    <w:pPr>
      <w:spacing w:before="75" w:after="75"/>
      <w:ind w:left="270"/>
    </w:pPr>
    <w:rPr>
      <w:rFonts w:ascii="Arial" w:eastAsiaTheme="minorHAnsi"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acc.org/ldl/ascvd_risk_estimator/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ools.acc.org/ldl/ascvd_risk_estimator/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50C4-F9B6-48F7-9C24-A3D990F2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891</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Toney</dc:creator>
  <cp:keywords/>
  <dc:description/>
  <cp:lastModifiedBy>Beth Begley</cp:lastModifiedBy>
  <cp:revision>3</cp:revision>
  <cp:lastPrinted>2017-08-22T18:23:00Z</cp:lastPrinted>
  <dcterms:created xsi:type="dcterms:W3CDTF">2020-04-10T14:30:00Z</dcterms:created>
  <dcterms:modified xsi:type="dcterms:W3CDTF">2020-04-10T14:45:00Z</dcterms:modified>
</cp:coreProperties>
</file>