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DA" w:rsidRPr="00120DE3" w:rsidRDefault="00D82ADA" w:rsidP="00D82ADA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76F37" w:rsidRPr="00120DE3" w:rsidRDefault="00576F37" w:rsidP="001F3959">
            <w:pPr>
              <w:spacing w:before="6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873AE9" w:rsidRPr="00714631">
              <w:rPr>
                <w:rFonts w:ascii="Arial" w:hAnsi="Arial" w:cs="Arial"/>
                <w:bCs/>
              </w:rPr>
              <w:t>Kidney and Pancreas Post Transplant Bone Diseas</w:t>
            </w:r>
            <w:r w:rsidR="00873AE9">
              <w:rPr>
                <w:rFonts w:ascii="Arial" w:hAnsi="Arial" w:cs="Arial"/>
                <w:bCs/>
              </w:rPr>
              <w:t>e</w:t>
            </w:r>
            <w:r w:rsidR="00873AE9" w:rsidRPr="00714631">
              <w:rPr>
                <w:rFonts w:ascii="Arial" w:hAnsi="Arial" w:cs="Arial"/>
                <w:bCs/>
              </w:rPr>
              <w:t xml:space="preserve"> Management</w:t>
            </w:r>
          </w:p>
        </w:tc>
      </w:tr>
      <w:tr w:rsidR="00576F37" w:rsidRPr="00120DE3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:rsidR="00FF712F" w:rsidRDefault="007B685D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AA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:rsidR="00061A36" w:rsidRPr="00A96893" w:rsidRDefault="007B685D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  <w:r w:rsidR="00873AE9">
              <w:rPr>
                <w:rFonts w:ascii="Arial" w:hAnsi="Arial" w:cs="Arial"/>
              </w:rPr>
              <w:t>11/13/2019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873AE9">
              <w:rPr>
                <w:rFonts w:ascii="Arial" w:hAnsi="Arial" w:cs="Arial"/>
              </w:rPr>
              <w:t>11/04/2009</w:t>
            </w:r>
          </w:p>
        </w:tc>
      </w:tr>
    </w:tbl>
    <w:p w:rsidR="00873AE9" w:rsidRPr="00873AE9" w:rsidRDefault="00873AE9" w:rsidP="00873AE9">
      <w:pPr>
        <w:autoSpaceDE w:val="0"/>
        <w:autoSpaceDN w:val="0"/>
        <w:adjustRightInd w:val="0"/>
        <w:rPr>
          <w:rFonts w:ascii="Arial" w:hAnsi="Arial" w:cs="Arial"/>
        </w:rPr>
      </w:pPr>
      <w:r w:rsidRPr="00873AE9">
        <w:rPr>
          <w:rFonts w:ascii="Arial" w:hAnsi="Arial" w:cs="Arial"/>
          <w:b/>
          <w:u w:val="single"/>
        </w:rPr>
        <w:t>SCOPE:</w:t>
      </w:r>
      <w:r w:rsidRPr="00873AE9">
        <w:rPr>
          <w:rFonts w:ascii="Arial" w:hAnsi="Arial" w:cs="Arial"/>
        </w:rPr>
        <w:t xml:space="preserve"> </w:t>
      </w:r>
    </w:p>
    <w:p w:rsidR="00873AE9" w:rsidRPr="00873AE9" w:rsidRDefault="00873AE9" w:rsidP="00873AE9">
      <w:pPr>
        <w:autoSpaceDE w:val="0"/>
        <w:autoSpaceDN w:val="0"/>
        <w:adjustRightInd w:val="0"/>
        <w:rPr>
          <w:rFonts w:ascii="Arial" w:hAnsi="Arial" w:cs="Arial"/>
        </w:rPr>
      </w:pPr>
      <w:r w:rsidRPr="00873AE9">
        <w:rPr>
          <w:rFonts w:ascii="Arial" w:hAnsi="Arial" w:cs="Arial"/>
        </w:rPr>
        <w:t>All transplant program physicians, practitioners and clinical staff members are responsible for compliance with this clinical protocol.</w:t>
      </w:r>
    </w:p>
    <w:p w:rsidR="00873AE9" w:rsidRPr="00873AE9" w:rsidRDefault="00873AE9" w:rsidP="00873AE9">
      <w:pPr>
        <w:rPr>
          <w:rFonts w:ascii="Arial" w:hAnsi="Arial" w:cs="Arial"/>
        </w:rPr>
      </w:pPr>
    </w:p>
    <w:p w:rsidR="00873AE9" w:rsidRPr="00873AE9" w:rsidRDefault="00873AE9" w:rsidP="00873AE9">
      <w:pPr>
        <w:rPr>
          <w:rFonts w:ascii="Arial" w:hAnsi="Arial" w:cs="Arial"/>
          <w:b/>
          <w:u w:val="single"/>
        </w:rPr>
      </w:pPr>
      <w:r w:rsidRPr="00873AE9">
        <w:rPr>
          <w:rFonts w:ascii="Arial" w:hAnsi="Arial" w:cs="Arial"/>
          <w:b/>
          <w:u w:val="single"/>
        </w:rPr>
        <w:t>PURPOSE:</w:t>
      </w:r>
    </w:p>
    <w:p w:rsidR="00873AE9" w:rsidRPr="00873AE9" w:rsidRDefault="00873AE9" w:rsidP="00873AE9">
      <w:pPr>
        <w:rPr>
          <w:rFonts w:ascii="Arial" w:hAnsi="Arial" w:cs="Arial"/>
        </w:rPr>
      </w:pPr>
      <w:r w:rsidRPr="00873AE9">
        <w:rPr>
          <w:rFonts w:ascii="Arial" w:hAnsi="Arial" w:cs="Arial"/>
        </w:rPr>
        <w:t>This protocol is necessary for the protection of patients, physicians, and staff.</w:t>
      </w:r>
    </w:p>
    <w:p w:rsidR="00873AE9" w:rsidRPr="00873AE9" w:rsidRDefault="00873AE9" w:rsidP="00873AE9">
      <w:pPr>
        <w:rPr>
          <w:rFonts w:ascii="Arial" w:hAnsi="Arial" w:cs="Arial"/>
          <w:b/>
          <w:u w:val="single"/>
        </w:rPr>
      </w:pPr>
    </w:p>
    <w:p w:rsidR="00873AE9" w:rsidRPr="00873AE9" w:rsidRDefault="00873AE9" w:rsidP="00873AE9">
      <w:pPr>
        <w:rPr>
          <w:rFonts w:ascii="Arial" w:hAnsi="Arial" w:cs="Arial"/>
        </w:rPr>
      </w:pPr>
      <w:r w:rsidRPr="00873AE9">
        <w:rPr>
          <w:rFonts w:ascii="Arial" w:hAnsi="Arial" w:cs="Arial"/>
          <w:b/>
          <w:u w:val="single"/>
        </w:rPr>
        <w:t>PROTOCOL:</w:t>
      </w:r>
    </w:p>
    <w:p w:rsidR="00873AE9" w:rsidRPr="00873AE9" w:rsidRDefault="00873AE9" w:rsidP="00873AE9">
      <w:pPr>
        <w:widowControl w:val="0"/>
        <w:ind w:left="720"/>
        <w:rPr>
          <w:rFonts w:ascii="Arial" w:hAnsi="Arial" w:cs="Arial"/>
          <w:b/>
          <w:sz w:val="22"/>
          <w:szCs w:val="22"/>
        </w:rPr>
      </w:pPr>
    </w:p>
    <w:p w:rsidR="00873AE9" w:rsidRPr="00873AE9" w:rsidRDefault="00873AE9" w:rsidP="00873AE9">
      <w:pPr>
        <w:widowControl w:val="0"/>
        <w:numPr>
          <w:ilvl w:val="1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873AE9">
        <w:rPr>
          <w:rFonts w:ascii="Arial" w:hAnsi="Arial" w:cs="Arial"/>
          <w:b/>
          <w:sz w:val="22"/>
          <w:szCs w:val="22"/>
        </w:rPr>
        <w:t>Bone Densitometry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A DEXA scan should be performed within the first 3 months post-transplant to establish the patient’s baseline BMD.</w:t>
      </w:r>
    </w:p>
    <w:p w:rsid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A follow-up DEXA scan should be performed at 12-15 months post-transplant and then every 1-2 years thereafter as clinically indicated.</w:t>
      </w:r>
    </w:p>
    <w:p w:rsidR="00873AE9" w:rsidRDefault="00873AE9" w:rsidP="00873AE9">
      <w:pPr>
        <w:widowControl w:val="0"/>
        <w:ind w:left="1080"/>
        <w:rPr>
          <w:rFonts w:ascii="Arial" w:hAnsi="Arial" w:cs="Arial"/>
          <w:sz w:val="22"/>
          <w:szCs w:val="22"/>
        </w:rPr>
      </w:pPr>
    </w:p>
    <w:p w:rsidR="00873AE9" w:rsidRPr="00873AE9" w:rsidRDefault="00873AE9" w:rsidP="00873AE9">
      <w:pPr>
        <w:widowControl w:val="0"/>
        <w:numPr>
          <w:ilvl w:val="1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873AE9">
        <w:rPr>
          <w:rFonts w:ascii="Arial" w:hAnsi="Arial" w:cs="Arial"/>
          <w:b/>
          <w:sz w:val="22"/>
          <w:szCs w:val="22"/>
        </w:rPr>
        <w:t>Lifestyle Modifications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Smoking cessation should be strongly encouraged.</w:t>
      </w:r>
    </w:p>
    <w:p w:rsid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Patients should be encouraged to participate in weight bearing exercises in addition to regular daily exercise.</w:t>
      </w:r>
    </w:p>
    <w:p w:rsidR="00873AE9" w:rsidRPr="00873AE9" w:rsidRDefault="00873AE9" w:rsidP="00873AE9">
      <w:pPr>
        <w:widowControl w:val="0"/>
        <w:ind w:left="1080"/>
        <w:rPr>
          <w:rFonts w:ascii="Arial" w:hAnsi="Arial" w:cs="Arial"/>
          <w:sz w:val="22"/>
          <w:szCs w:val="22"/>
        </w:rPr>
      </w:pPr>
    </w:p>
    <w:p w:rsidR="00873AE9" w:rsidRPr="00873AE9" w:rsidRDefault="00873AE9" w:rsidP="00873AE9">
      <w:pPr>
        <w:widowControl w:val="0"/>
        <w:numPr>
          <w:ilvl w:val="1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873AE9">
        <w:rPr>
          <w:rFonts w:ascii="Arial" w:hAnsi="Arial" w:cs="Arial"/>
          <w:b/>
          <w:sz w:val="22"/>
          <w:szCs w:val="22"/>
        </w:rPr>
        <w:t>Laboratory Testing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Laboratory monitoring should be ordered according to the “Outpatient Post Renal Transplant First Year Timed Lab Orders” order set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90" w:hanging="45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Serum calcium, phosphorous, bicarbonate, and PTH </w:t>
      </w:r>
    </w:p>
    <w:p w:rsidR="00873AE9" w:rsidRPr="00873AE9" w:rsidRDefault="00873AE9" w:rsidP="00873AE9">
      <w:pPr>
        <w:widowControl w:val="0"/>
        <w:numPr>
          <w:ilvl w:val="4"/>
          <w:numId w:val="15"/>
        </w:numPr>
        <w:ind w:left="1890" w:firstLine="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At the time of transplant, quarterly for 1 year post-transplant, and bi-annually thereafter at a minimum. 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90" w:hanging="45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25-OH Vitamin D levels</w:t>
      </w:r>
    </w:p>
    <w:p w:rsidR="00873AE9" w:rsidRPr="00873AE9" w:rsidRDefault="00873AE9" w:rsidP="00873AE9">
      <w:pPr>
        <w:widowControl w:val="0"/>
        <w:numPr>
          <w:ilvl w:val="4"/>
          <w:numId w:val="15"/>
        </w:numPr>
        <w:ind w:left="1890" w:firstLine="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At the time of transplant, at 3, 6, and 12 months post-transplant, and as clinically indicated thereafter.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90" w:hanging="45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Minerals and electrolytes</w:t>
      </w:r>
    </w:p>
    <w:p w:rsidR="00873AE9" w:rsidRDefault="00873AE9" w:rsidP="00873AE9">
      <w:pPr>
        <w:widowControl w:val="0"/>
        <w:numPr>
          <w:ilvl w:val="4"/>
          <w:numId w:val="15"/>
        </w:numPr>
        <w:ind w:left="1890" w:firstLine="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At the time of transplant, and at each transplant clinic visit.</w:t>
      </w:r>
    </w:p>
    <w:p w:rsidR="00873AE9" w:rsidRPr="00873AE9" w:rsidRDefault="00873AE9" w:rsidP="00873AE9">
      <w:pPr>
        <w:widowControl w:val="0"/>
        <w:ind w:left="1890"/>
        <w:rPr>
          <w:rFonts w:ascii="Arial" w:hAnsi="Arial" w:cs="Arial"/>
          <w:sz w:val="22"/>
          <w:szCs w:val="22"/>
        </w:rPr>
      </w:pPr>
    </w:p>
    <w:p w:rsidR="00873AE9" w:rsidRPr="00873AE9" w:rsidRDefault="00873AE9" w:rsidP="00873AE9">
      <w:pPr>
        <w:widowControl w:val="0"/>
        <w:numPr>
          <w:ilvl w:val="1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873AE9">
        <w:rPr>
          <w:rFonts w:ascii="Arial" w:hAnsi="Arial" w:cs="Arial"/>
          <w:b/>
          <w:sz w:val="22"/>
          <w:szCs w:val="22"/>
        </w:rPr>
        <w:t xml:space="preserve">Persistent Hyperparathyroidism 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For patients whose PTH and serum calcium levels are above goal, consider treatment with </w:t>
      </w:r>
      <w:proofErr w:type="spellStart"/>
      <w:r w:rsidRPr="00873AE9">
        <w:rPr>
          <w:rFonts w:ascii="Arial" w:hAnsi="Arial" w:cs="Arial"/>
          <w:sz w:val="22"/>
          <w:szCs w:val="22"/>
        </w:rPr>
        <w:t>cinacalcet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30 mg PO daily.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Increase dose by 30mg every 1-2 months if patient is not at goal.</w:t>
      </w:r>
    </w:p>
    <w:p w:rsidR="00873AE9" w:rsidRPr="00873AE9" w:rsidRDefault="00873AE9" w:rsidP="00873AE9">
      <w:pPr>
        <w:widowControl w:val="0"/>
        <w:numPr>
          <w:ilvl w:val="4"/>
          <w:numId w:val="15"/>
        </w:numPr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Maximum dose is 180 mg daily.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tabs>
          <w:tab w:val="left" w:pos="1080"/>
        </w:tabs>
        <w:ind w:hanging="126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Parathyroidectomy may be considered if intolerant to </w:t>
      </w:r>
      <w:proofErr w:type="spellStart"/>
      <w:r w:rsidRPr="00873AE9">
        <w:rPr>
          <w:rFonts w:ascii="Arial" w:hAnsi="Arial" w:cs="Arial"/>
          <w:sz w:val="22"/>
          <w:szCs w:val="22"/>
        </w:rPr>
        <w:t>cinacalcet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or if unable to medically manage.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Oral vitamin D analogs should be considered in patients with persistently elevated PTH and normal serum calcium levels.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 Calcitriol 0.25 mcg PO daily may be started or patient’s home regimen resumed.</w:t>
      </w:r>
    </w:p>
    <w:p w:rsidR="00873AE9" w:rsidRDefault="00873AE9" w:rsidP="00873AE9">
      <w:pPr>
        <w:widowControl w:val="0"/>
        <w:numPr>
          <w:ilvl w:val="3"/>
          <w:numId w:val="15"/>
        </w:numPr>
        <w:ind w:left="1890" w:hanging="45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lastRenderedPageBreak/>
        <w:t>Increase dose by 0.25 mcg/day every 4 – 8 weeks, up to 0.5 to 1 mcg/day.</w:t>
      </w:r>
    </w:p>
    <w:p w:rsidR="00873AE9" w:rsidRPr="00873AE9" w:rsidRDefault="00873AE9" w:rsidP="00873AE9">
      <w:pPr>
        <w:widowControl w:val="0"/>
        <w:ind w:left="1890"/>
        <w:rPr>
          <w:rFonts w:ascii="Arial" w:hAnsi="Arial" w:cs="Arial"/>
          <w:sz w:val="22"/>
          <w:szCs w:val="22"/>
        </w:rPr>
      </w:pPr>
    </w:p>
    <w:p w:rsidR="00873AE9" w:rsidRPr="00873AE9" w:rsidRDefault="00873AE9" w:rsidP="00873AE9">
      <w:pPr>
        <w:widowControl w:val="0"/>
        <w:numPr>
          <w:ilvl w:val="1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873AE9">
        <w:rPr>
          <w:rFonts w:ascii="Arial" w:hAnsi="Arial" w:cs="Arial"/>
          <w:b/>
          <w:sz w:val="22"/>
          <w:szCs w:val="22"/>
        </w:rPr>
        <w:t>Vitamin D Deficiency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Patients with Vitamin D levels ≤ 30 ng/mL without hypercalcemia should be treated with vitamin D 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Patients with 25-OH D levels ≤ 12 ng/mL should receive:</w:t>
      </w:r>
    </w:p>
    <w:p w:rsidR="00873AE9" w:rsidRPr="00873AE9" w:rsidRDefault="00873AE9" w:rsidP="00873AE9">
      <w:pPr>
        <w:widowControl w:val="0"/>
        <w:numPr>
          <w:ilvl w:val="4"/>
          <w:numId w:val="15"/>
        </w:numPr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Cholecalciferol (preferred) or </w:t>
      </w:r>
      <w:proofErr w:type="spellStart"/>
      <w:r w:rsidRPr="00873AE9">
        <w:rPr>
          <w:rFonts w:ascii="Arial" w:hAnsi="Arial" w:cs="Arial"/>
          <w:sz w:val="22"/>
          <w:szCs w:val="22"/>
        </w:rPr>
        <w:t>ergocalciferol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50,000 units PO weekly x 8 weeks, then 1000 units PO daily thereafter.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Patients with 25-OH D levels &gt; 12 ng/mL to 20 ng/mL should receive:</w:t>
      </w:r>
    </w:p>
    <w:p w:rsidR="00873AE9" w:rsidRPr="00873AE9" w:rsidRDefault="00873AE9" w:rsidP="00873AE9">
      <w:pPr>
        <w:widowControl w:val="0"/>
        <w:numPr>
          <w:ilvl w:val="4"/>
          <w:numId w:val="15"/>
        </w:numPr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Cholecalciferol  (preferred) or </w:t>
      </w:r>
      <w:proofErr w:type="spellStart"/>
      <w:r w:rsidRPr="00873AE9">
        <w:rPr>
          <w:rFonts w:ascii="Arial" w:hAnsi="Arial" w:cs="Arial"/>
          <w:sz w:val="22"/>
          <w:szCs w:val="22"/>
        </w:rPr>
        <w:t>ergocalciferol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1,000 units PO daily with a repeat 25-OH Vitamin D level measurement in 3 months to assess efficacy.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Patients with a 25-OH D level of 20-30 ng/ml should receive:</w:t>
      </w:r>
    </w:p>
    <w:p w:rsidR="00873AE9" w:rsidRPr="00873AE9" w:rsidRDefault="00873AE9" w:rsidP="00873AE9">
      <w:pPr>
        <w:widowControl w:val="0"/>
        <w:numPr>
          <w:ilvl w:val="4"/>
          <w:numId w:val="15"/>
        </w:numPr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Cholecalciferol (preferred) or </w:t>
      </w:r>
      <w:proofErr w:type="spellStart"/>
      <w:r w:rsidRPr="00873AE9">
        <w:rPr>
          <w:rFonts w:ascii="Arial" w:hAnsi="Arial" w:cs="Arial"/>
          <w:sz w:val="22"/>
          <w:szCs w:val="22"/>
        </w:rPr>
        <w:t>ergocalciferol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1000 units PO daily.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Check Vitamin D level according to “Laboratory Testing” above.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In the setting of hypercalcemia, vitamin D supplementation should be held until serum calcium levels normalize.</w:t>
      </w:r>
    </w:p>
    <w:p w:rsid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Defer initiation of </w:t>
      </w:r>
      <w:proofErr w:type="spellStart"/>
      <w:r w:rsidRPr="00873AE9">
        <w:rPr>
          <w:rFonts w:ascii="Arial" w:hAnsi="Arial" w:cs="Arial"/>
          <w:sz w:val="22"/>
          <w:szCs w:val="22"/>
        </w:rPr>
        <w:t>Vit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. D supplementation in post-transplant patients for the first 3 months post-transplant if they were on pre-transplant </w:t>
      </w:r>
      <w:proofErr w:type="spellStart"/>
      <w:r w:rsidRPr="00873AE9">
        <w:rPr>
          <w:rFonts w:ascii="Arial" w:hAnsi="Arial" w:cs="Arial"/>
          <w:sz w:val="22"/>
          <w:szCs w:val="22"/>
        </w:rPr>
        <w:t>cinacalcet</w:t>
      </w:r>
      <w:proofErr w:type="spellEnd"/>
      <w:r w:rsidRPr="00873AE9">
        <w:rPr>
          <w:rFonts w:ascii="Arial" w:hAnsi="Arial" w:cs="Arial"/>
          <w:sz w:val="22"/>
          <w:szCs w:val="22"/>
        </w:rPr>
        <w:t>.</w:t>
      </w:r>
    </w:p>
    <w:p w:rsidR="00873AE9" w:rsidRPr="00873AE9" w:rsidRDefault="00873AE9" w:rsidP="00873AE9">
      <w:pPr>
        <w:widowControl w:val="0"/>
        <w:ind w:left="1800"/>
        <w:rPr>
          <w:rFonts w:ascii="Arial" w:hAnsi="Arial" w:cs="Arial"/>
          <w:sz w:val="22"/>
          <w:szCs w:val="22"/>
        </w:rPr>
      </w:pPr>
    </w:p>
    <w:p w:rsidR="00873AE9" w:rsidRPr="00873AE9" w:rsidRDefault="00873AE9" w:rsidP="00873AE9">
      <w:pPr>
        <w:widowControl w:val="0"/>
        <w:numPr>
          <w:ilvl w:val="1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873AE9">
        <w:rPr>
          <w:rFonts w:ascii="Arial" w:hAnsi="Arial" w:cs="Arial"/>
          <w:b/>
          <w:sz w:val="22"/>
          <w:szCs w:val="22"/>
        </w:rPr>
        <w:t>Calcium Supplementation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Calcium supplementation should be considered in all patients without hypercalcemia or significant hypophosphatemia.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Begin supplementation once renal function has stabilized and the patient is not requiring phosphorous supplementation.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Supplements containing 1000-1500mg Ca++ daily and 400 IU Vitamin D daily may be used.</w:t>
      </w:r>
    </w:p>
    <w:p w:rsid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Examples: </w:t>
      </w:r>
      <w:proofErr w:type="spellStart"/>
      <w:r w:rsidRPr="00873AE9">
        <w:rPr>
          <w:rFonts w:ascii="Arial" w:hAnsi="Arial" w:cs="Arial"/>
          <w:sz w:val="22"/>
          <w:szCs w:val="22"/>
        </w:rPr>
        <w:t>Caltrate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600+D or </w:t>
      </w:r>
      <w:proofErr w:type="spellStart"/>
      <w:r w:rsidRPr="00873AE9">
        <w:rPr>
          <w:rFonts w:ascii="Arial" w:hAnsi="Arial" w:cs="Arial"/>
          <w:sz w:val="22"/>
          <w:szCs w:val="22"/>
        </w:rPr>
        <w:t>OsCal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500+D, take 2 tablets PO QHS. </w:t>
      </w:r>
    </w:p>
    <w:p w:rsidR="00873AE9" w:rsidRPr="00873AE9" w:rsidRDefault="00873AE9" w:rsidP="00873AE9">
      <w:pPr>
        <w:widowControl w:val="0"/>
        <w:ind w:left="1800"/>
        <w:rPr>
          <w:rFonts w:ascii="Arial" w:hAnsi="Arial" w:cs="Arial"/>
          <w:sz w:val="22"/>
          <w:szCs w:val="22"/>
        </w:rPr>
      </w:pPr>
    </w:p>
    <w:p w:rsidR="00873AE9" w:rsidRPr="00873AE9" w:rsidRDefault="00873AE9" w:rsidP="00873AE9">
      <w:pPr>
        <w:widowControl w:val="0"/>
        <w:numPr>
          <w:ilvl w:val="1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873AE9">
        <w:rPr>
          <w:rFonts w:ascii="Arial" w:hAnsi="Arial" w:cs="Arial"/>
          <w:b/>
          <w:sz w:val="22"/>
          <w:szCs w:val="22"/>
        </w:rPr>
        <w:t>Mineral-Electrolyte Abnormalities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Hypophosphatemia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Patients with serum phosphorus &lt; 2 mg/</w:t>
      </w:r>
      <w:proofErr w:type="spellStart"/>
      <w:r w:rsidRPr="00873AE9">
        <w:rPr>
          <w:rFonts w:ascii="Arial" w:hAnsi="Arial" w:cs="Arial"/>
          <w:sz w:val="22"/>
          <w:szCs w:val="22"/>
        </w:rPr>
        <w:t>dL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which does not improve with dietary intervention should receive treatment with K-</w:t>
      </w:r>
      <w:proofErr w:type="spellStart"/>
      <w:r w:rsidRPr="00873AE9">
        <w:rPr>
          <w:rFonts w:ascii="Arial" w:hAnsi="Arial" w:cs="Arial"/>
          <w:sz w:val="22"/>
          <w:szCs w:val="22"/>
        </w:rPr>
        <w:t>phos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neutral 500mg PO BID which can be titrated up based on response if needed.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Hypophosphatemia usually resolves within a few months post-transplant.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Continue treatment until phosphorous is &gt; 2.5 mg/</w:t>
      </w:r>
      <w:proofErr w:type="spellStart"/>
      <w:r w:rsidRPr="00873AE9">
        <w:rPr>
          <w:rFonts w:ascii="Arial" w:hAnsi="Arial" w:cs="Arial"/>
          <w:sz w:val="22"/>
          <w:szCs w:val="22"/>
        </w:rPr>
        <w:t>dL</w:t>
      </w:r>
      <w:proofErr w:type="spellEnd"/>
      <w:r w:rsidRPr="00873AE9">
        <w:rPr>
          <w:rFonts w:ascii="Arial" w:hAnsi="Arial" w:cs="Arial"/>
          <w:sz w:val="22"/>
          <w:szCs w:val="22"/>
        </w:rPr>
        <w:t>.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Hypercalcemia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Refer to Persistent Hyperparathyroidism management strategy above for </w:t>
      </w:r>
      <w:proofErr w:type="spellStart"/>
      <w:r w:rsidRPr="00873AE9">
        <w:rPr>
          <w:rFonts w:ascii="Arial" w:hAnsi="Arial" w:cs="Arial"/>
          <w:sz w:val="22"/>
          <w:szCs w:val="22"/>
        </w:rPr>
        <w:t>cinacalcet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dosing. 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Continue treatment until serum calcium is &lt; 10.2 mg/</w:t>
      </w:r>
      <w:proofErr w:type="spellStart"/>
      <w:r w:rsidRPr="00873AE9">
        <w:rPr>
          <w:rFonts w:ascii="Arial" w:hAnsi="Arial" w:cs="Arial"/>
          <w:sz w:val="22"/>
          <w:szCs w:val="22"/>
        </w:rPr>
        <w:t>dL</w:t>
      </w:r>
      <w:proofErr w:type="spellEnd"/>
      <w:r w:rsidRPr="00873AE9">
        <w:rPr>
          <w:rFonts w:ascii="Arial" w:hAnsi="Arial" w:cs="Arial"/>
          <w:sz w:val="22"/>
          <w:szCs w:val="22"/>
        </w:rPr>
        <w:t>.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Hypomagnesemia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Patients with serum magnesium ≤ 1.5 mg/</w:t>
      </w:r>
      <w:proofErr w:type="spellStart"/>
      <w:r w:rsidRPr="00873AE9">
        <w:rPr>
          <w:rFonts w:ascii="Arial" w:hAnsi="Arial" w:cs="Arial"/>
          <w:sz w:val="22"/>
          <w:szCs w:val="22"/>
        </w:rPr>
        <w:t>dL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may benefit from treatment with magnesium oxide 400mg PO BID if their magnesium level fails to improve with dietary supplementation.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Magnesium supplementation should be separated from mycophenolate </w:t>
      </w:r>
      <w:proofErr w:type="spellStart"/>
      <w:r w:rsidRPr="00873AE9">
        <w:rPr>
          <w:rFonts w:ascii="Arial" w:hAnsi="Arial" w:cs="Arial"/>
          <w:sz w:val="22"/>
          <w:szCs w:val="22"/>
        </w:rPr>
        <w:t>mofetil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administration by at least 2 hours. 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Magnesium supplementation should be avoided in patients with diarrhea as it can further exacerbate symptoms.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Metabolic Acidosis</w:t>
      </w:r>
    </w:p>
    <w:p w:rsidR="00873AE9" w:rsidRP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Patients with serum bicarbonate &lt; 18 </w:t>
      </w:r>
      <w:proofErr w:type="spellStart"/>
      <w:r w:rsidRPr="00873AE9">
        <w:rPr>
          <w:rFonts w:ascii="Arial" w:hAnsi="Arial" w:cs="Arial"/>
          <w:sz w:val="22"/>
          <w:szCs w:val="22"/>
        </w:rPr>
        <w:t>mmol</w:t>
      </w:r>
      <w:proofErr w:type="spellEnd"/>
      <w:r w:rsidRPr="00873AE9">
        <w:rPr>
          <w:rFonts w:ascii="Arial" w:hAnsi="Arial" w:cs="Arial"/>
          <w:sz w:val="22"/>
          <w:szCs w:val="22"/>
        </w:rPr>
        <w:t>/L should be treated with sodium bicarbonate 1300 mg PO BID and titrated up a needed.</w:t>
      </w:r>
    </w:p>
    <w:p w:rsidR="00873AE9" w:rsidRDefault="00873AE9" w:rsidP="00873AE9">
      <w:pPr>
        <w:widowControl w:val="0"/>
        <w:numPr>
          <w:ilvl w:val="3"/>
          <w:numId w:val="15"/>
        </w:numPr>
        <w:ind w:left="180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Continue treatment until serum bicarbonate level is 20-22 </w:t>
      </w:r>
      <w:proofErr w:type="spellStart"/>
      <w:r w:rsidRPr="00873AE9">
        <w:rPr>
          <w:rFonts w:ascii="Arial" w:hAnsi="Arial" w:cs="Arial"/>
          <w:sz w:val="22"/>
          <w:szCs w:val="22"/>
        </w:rPr>
        <w:t>mmol</w:t>
      </w:r>
      <w:proofErr w:type="spellEnd"/>
      <w:r w:rsidRPr="00873AE9">
        <w:rPr>
          <w:rFonts w:ascii="Arial" w:hAnsi="Arial" w:cs="Arial"/>
          <w:sz w:val="22"/>
          <w:szCs w:val="22"/>
        </w:rPr>
        <w:t>/L.</w:t>
      </w:r>
    </w:p>
    <w:p w:rsidR="00873AE9" w:rsidRPr="00873AE9" w:rsidRDefault="00873AE9" w:rsidP="00873AE9">
      <w:pPr>
        <w:widowControl w:val="0"/>
        <w:ind w:left="1800"/>
        <w:rPr>
          <w:rFonts w:ascii="Arial" w:hAnsi="Arial" w:cs="Arial"/>
          <w:sz w:val="22"/>
          <w:szCs w:val="22"/>
        </w:rPr>
      </w:pPr>
    </w:p>
    <w:p w:rsidR="00873AE9" w:rsidRPr="00873AE9" w:rsidRDefault="00873AE9" w:rsidP="00873AE9">
      <w:pPr>
        <w:widowControl w:val="0"/>
        <w:numPr>
          <w:ilvl w:val="1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873AE9">
        <w:rPr>
          <w:rFonts w:ascii="Arial" w:hAnsi="Arial" w:cs="Arial"/>
          <w:b/>
          <w:sz w:val="22"/>
          <w:szCs w:val="22"/>
        </w:rPr>
        <w:t>Low Bone Mineral Density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 xml:space="preserve">Bisphosphonate therapy may be considered in patients with an </w:t>
      </w:r>
      <w:proofErr w:type="spellStart"/>
      <w:r w:rsidRPr="00873AE9">
        <w:rPr>
          <w:rFonts w:ascii="Arial" w:hAnsi="Arial" w:cs="Arial"/>
          <w:sz w:val="22"/>
          <w:szCs w:val="22"/>
        </w:rPr>
        <w:t>eGFR</w:t>
      </w:r>
      <w:proofErr w:type="spellEnd"/>
      <w:r w:rsidRPr="00873AE9">
        <w:rPr>
          <w:rFonts w:ascii="Arial" w:hAnsi="Arial" w:cs="Arial"/>
          <w:sz w:val="22"/>
          <w:szCs w:val="22"/>
        </w:rPr>
        <w:t xml:space="preserve"> of &gt;30 ml/min/1.73 m</w:t>
      </w:r>
      <w:r w:rsidRPr="00873AE9">
        <w:rPr>
          <w:rFonts w:ascii="Arial" w:hAnsi="Arial" w:cs="Arial"/>
          <w:sz w:val="22"/>
          <w:szCs w:val="22"/>
          <w:vertAlign w:val="superscript"/>
        </w:rPr>
        <w:t>2</w:t>
      </w:r>
      <w:r w:rsidRPr="00873AE9">
        <w:rPr>
          <w:rFonts w:ascii="Arial" w:hAnsi="Arial" w:cs="Arial"/>
          <w:sz w:val="22"/>
          <w:szCs w:val="22"/>
        </w:rPr>
        <w:t xml:space="preserve"> whose risk of fracture outweighs the potential long-term risk of inducing irreversible low bone turnover.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lastRenderedPageBreak/>
        <w:t>A bone biopsy could be considered prior to initiation of bisphosphonate therapy as these agents are most beneficial in patients who have increased bone resorption.</w:t>
      </w:r>
    </w:p>
    <w:p w:rsidR="00873AE9" w:rsidRPr="00873AE9" w:rsidRDefault="00873AE9" w:rsidP="00873AE9">
      <w:pPr>
        <w:widowControl w:val="0"/>
        <w:numPr>
          <w:ilvl w:val="2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873AE9">
        <w:rPr>
          <w:rFonts w:ascii="Arial" w:hAnsi="Arial" w:cs="Arial"/>
          <w:sz w:val="22"/>
          <w:szCs w:val="22"/>
        </w:rPr>
        <w:t>There is insufficient data to guide long term management of bone disease in patients &gt; 12 months post-transplant and treatment will need to be individualized.</w:t>
      </w:r>
    </w:p>
    <w:p w:rsidR="00C05CA7" w:rsidRDefault="00C05CA7" w:rsidP="00D82ADA">
      <w:pPr>
        <w:rPr>
          <w:rFonts w:ascii="Arial" w:hAnsi="Arial" w:cs="Arial"/>
        </w:rPr>
      </w:pPr>
    </w:p>
    <w:p w:rsidR="00D31825" w:rsidRPr="00873AE9" w:rsidRDefault="0018574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 xml:space="preserve">RELATED </w:t>
      </w:r>
      <w:r w:rsidR="001F3959">
        <w:rPr>
          <w:rFonts w:ascii="Arial" w:hAnsi="Arial" w:cs="Arial"/>
          <w:b/>
          <w:u w:val="single"/>
        </w:rPr>
        <w:t>POLICIES / PROCEDURE</w:t>
      </w:r>
      <w:r w:rsidR="00C05CA7">
        <w:rPr>
          <w:rFonts w:ascii="Arial" w:hAnsi="Arial" w:cs="Arial"/>
          <w:b/>
          <w:u w:val="single"/>
        </w:rPr>
        <w:t>S:</w:t>
      </w:r>
      <w:r w:rsidR="00873AE9">
        <w:rPr>
          <w:rFonts w:ascii="Arial" w:hAnsi="Arial" w:cs="Arial"/>
          <w:b/>
          <w:u w:val="single"/>
        </w:rPr>
        <w:t xml:space="preserve">  </w:t>
      </w:r>
      <w:r w:rsidR="00873AE9">
        <w:rPr>
          <w:rFonts w:ascii="Arial" w:hAnsi="Arial" w:cs="Arial"/>
          <w:b/>
        </w:rPr>
        <w:t>N/A</w:t>
      </w:r>
    </w:p>
    <w:p w:rsidR="00E738BE" w:rsidRDefault="00E738BE" w:rsidP="006F1E72">
      <w:pPr>
        <w:pStyle w:val="ListParagraph"/>
        <w:ind w:left="0"/>
        <w:rPr>
          <w:rFonts w:ascii="Arial" w:hAnsi="Arial" w:cs="Arial"/>
        </w:rPr>
      </w:pPr>
    </w:p>
    <w:p w:rsidR="006F1E72" w:rsidRPr="00480796" w:rsidRDefault="006F1E72" w:rsidP="006F1E72">
      <w:pPr>
        <w:pStyle w:val="ListParagraph"/>
        <w:ind w:left="0"/>
        <w:rPr>
          <w:rFonts w:ascii="Arial" w:hAnsi="Arial" w:cs="Arial"/>
        </w:rPr>
      </w:pPr>
    </w:p>
    <w:p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DEFINITIONS</w:t>
      </w:r>
      <w:r w:rsidR="0019168D">
        <w:rPr>
          <w:rFonts w:ascii="Arial" w:hAnsi="Arial" w:cs="Arial"/>
          <w:b/>
          <w:u w:val="single"/>
        </w:rPr>
        <w:t>:</w:t>
      </w:r>
      <w:r w:rsidR="00A973EE" w:rsidRPr="00A96893">
        <w:rPr>
          <w:rFonts w:ascii="Arial" w:hAnsi="Arial" w:cs="Arial"/>
        </w:rPr>
        <w:t xml:space="preserve"> </w:t>
      </w:r>
      <w:r w:rsidR="00873AE9">
        <w:rPr>
          <w:rFonts w:ascii="Arial" w:hAnsi="Arial" w:cs="Arial"/>
        </w:rPr>
        <w:t xml:space="preserve"> N/A</w:t>
      </w:r>
    </w:p>
    <w:p w:rsidR="00F42056" w:rsidRDefault="00F42056" w:rsidP="00D82ADA">
      <w:pPr>
        <w:rPr>
          <w:rFonts w:ascii="Arial" w:hAnsi="Arial" w:cs="Arial"/>
        </w:rPr>
      </w:pPr>
    </w:p>
    <w:p w:rsidR="006F1E72" w:rsidRPr="00120DE3" w:rsidRDefault="006F1E72" w:rsidP="00D82ADA">
      <w:pPr>
        <w:rPr>
          <w:rFonts w:ascii="Arial" w:hAnsi="Arial" w:cs="Arial"/>
        </w:rPr>
      </w:pPr>
    </w:p>
    <w:p w:rsidR="00A973EE" w:rsidRDefault="00A973EE" w:rsidP="00D82ADA">
      <w:pPr>
        <w:rPr>
          <w:rFonts w:ascii="Arial" w:hAnsi="Arial" w:cs="Arial"/>
          <w:b/>
          <w:u w:val="single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:rsidR="00873AE9" w:rsidRDefault="00873AE9" w:rsidP="00873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500B49">
        <w:rPr>
          <w:rFonts w:ascii="Arial" w:hAnsi="Arial" w:cs="Arial"/>
          <w:color w:val="000000"/>
        </w:rPr>
        <w:t>Torregrosa</w:t>
      </w:r>
      <w:proofErr w:type="spellEnd"/>
      <w:r w:rsidRPr="00500B49">
        <w:rPr>
          <w:rFonts w:ascii="Arial" w:hAnsi="Arial" w:cs="Arial"/>
          <w:color w:val="000000"/>
        </w:rPr>
        <w:t xml:space="preserve"> JV. Barros X. Management of hypercalcemia after renal transplantation. </w:t>
      </w:r>
      <w:proofErr w:type="spellStart"/>
      <w:r w:rsidRPr="00500B49">
        <w:rPr>
          <w:rFonts w:ascii="Arial" w:hAnsi="Arial" w:cs="Arial"/>
          <w:color w:val="000000"/>
        </w:rPr>
        <w:t>Revista</w:t>
      </w:r>
      <w:proofErr w:type="spellEnd"/>
      <w:r w:rsidRPr="00500B49">
        <w:rPr>
          <w:rFonts w:ascii="Arial" w:hAnsi="Arial" w:cs="Arial"/>
          <w:color w:val="000000"/>
        </w:rPr>
        <w:t xml:space="preserve"> </w:t>
      </w:r>
      <w:proofErr w:type="spellStart"/>
      <w:r w:rsidRPr="00500B49">
        <w:rPr>
          <w:rFonts w:ascii="Arial" w:hAnsi="Arial" w:cs="Arial"/>
          <w:color w:val="000000"/>
        </w:rPr>
        <w:t>Nefrologia</w:t>
      </w:r>
      <w:proofErr w:type="spellEnd"/>
      <w:r w:rsidRPr="00500B49">
        <w:rPr>
          <w:rFonts w:ascii="Arial" w:hAnsi="Arial" w:cs="Arial"/>
          <w:color w:val="000000"/>
        </w:rPr>
        <w:t xml:space="preserve"> 2013</w:t>
      </w:r>
    </w:p>
    <w:p w:rsidR="00873AE9" w:rsidRDefault="00873AE9" w:rsidP="00873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73AE9" w:rsidRDefault="00873AE9" w:rsidP="00873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Aalten</w:t>
      </w:r>
      <w:proofErr w:type="spellEnd"/>
      <w:r>
        <w:rPr>
          <w:rFonts w:ascii="Arial" w:hAnsi="Arial" w:cs="Arial"/>
          <w:color w:val="000000"/>
        </w:rPr>
        <w:t xml:space="preserve"> J. </w:t>
      </w:r>
      <w:proofErr w:type="spellStart"/>
      <w:r>
        <w:rPr>
          <w:rFonts w:ascii="Arial" w:hAnsi="Arial" w:cs="Arial"/>
          <w:color w:val="000000"/>
        </w:rPr>
        <w:t>Wetzels</w:t>
      </w:r>
      <w:proofErr w:type="spellEnd"/>
      <w:r>
        <w:rPr>
          <w:rFonts w:ascii="Arial" w:hAnsi="Arial" w:cs="Arial"/>
          <w:color w:val="000000"/>
        </w:rPr>
        <w:t xml:space="preserve"> JF. </w:t>
      </w:r>
      <w:proofErr w:type="spellStart"/>
      <w:r>
        <w:rPr>
          <w:rFonts w:ascii="Arial" w:hAnsi="Arial" w:cs="Arial"/>
          <w:color w:val="000000"/>
        </w:rPr>
        <w:t>Hoitsma</w:t>
      </w:r>
      <w:proofErr w:type="spellEnd"/>
      <w:r>
        <w:rPr>
          <w:rFonts w:ascii="Arial" w:hAnsi="Arial" w:cs="Arial"/>
          <w:color w:val="000000"/>
        </w:rPr>
        <w:t xml:space="preserve"> AJ. Continuation of </w:t>
      </w:r>
      <w:proofErr w:type="spellStart"/>
      <w:r>
        <w:rPr>
          <w:rFonts w:ascii="Arial" w:hAnsi="Arial" w:cs="Arial"/>
          <w:color w:val="000000"/>
        </w:rPr>
        <w:t>cinacalcet</w:t>
      </w:r>
      <w:proofErr w:type="spellEnd"/>
      <w:r>
        <w:rPr>
          <w:rFonts w:ascii="Arial" w:hAnsi="Arial" w:cs="Arial"/>
          <w:color w:val="000000"/>
        </w:rPr>
        <w:t xml:space="preserve"> immediately after renal transplantation: a prospective cohort study. </w:t>
      </w:r>
    </w:p>
    <w:p w:rsidR="00873AE9" w:rsidRDefault="00873AE9" w:rsidP="00873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73AE9" w:rsidRDefault="00873AE9" w:rsidP="00873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KDIGO Clinical Practice Guideline Update for the Diagnosis, Evaluation, Prevention, and Treatment of Chronic Kidney Disease-Mineral and Bone Disorder. 2017</w:t>
      </w:r>
    </w:p>
    <w:p w:rsidR="00873AE9" w:rsidRDefault="00873AE9" w:rsidP="00873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73AE9" w:rsidRDefault="00873AE9" w:rsidP="00873A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KDIGO Clinical Practice Guideline for the Diagnosis, Evaluation, Prevention, and Treatment of Chronic Kidney Disease-Mineral and Bone Disorder. 2009</w:t>
      </w:r>
    </w:p>
    <w:p w:rsidR="006F1E72" w:rsidRDefault="006F1E72" w:rsidP="00D82ADA">
      <w:pPr>
        <w:rPr>
          <w:rFonts w:ascii="Arial" w:hAnsi="Arial" w:cs="Arial"/>
        </w:rPr>
      </w:pPr>
    </w:p>
    <w:p w:rsidR="00A973EE" w:rsidRPr="00873AE9" w:rsidRDefault="005E39CF" w:rsidP="00D82ADA">
      <w:pPr>
        <w:rPr>
          <w:rFonts w:ascii="Arial" w:hAnsi="Arial" w:cs="Arial"/>
        </w:rPr>
      </w:pPr>
      <w:r w:rsidRPr="005E39CF">
        <w:rPr>
          <w:rFonts w:ascii="Arial" w:hAnsi="Arial" w:cs="Arial"/>
          <w:b/>
          <w:u w:val="single"/>
        </w:rPr>
        <w:t>KEY WORDS:</w:t>
      </w:r>
      <w:r w:rsidR="00873AE9">
        <w:rPr>
          <w:rFonts w:ascii="Arial" w:hAnsi="Arial" w:cs="Arial"/>
        </w:rPr>
        <w:t xml:space="preserve">  kidney transplant, bone density</w:t>
      </w:r>
    </w:p>
    <w:p w:rsidR="006F1E72" w:rsidRPr="00845FB4" w:rsidRDefault="006F1E72" w:rsidP="00D82ADA">
      <w:pPr>
        <w:rPr>
          <w:rFonts w:ascii="Arial" w:hAnsi="Arial" w:cs="Arial"/>
        </w:rPr>
      </w:pPr>
    </w:p>
    <w:sectPr w:rsidR="006F1E72" w:rsidRPr="00845FB4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F0" w:rsidRDefault="00361FF0" w:rsidP="00401E3E">
      <w:r>
        <w:separator/>
      </w:r>
    </w:p>
  </w:endnote>
  <w:endnote w:type="continuationSeparator" w:id="0">
    <w:p w:rsidR="00361FF0" w:rsidRDefault="00361FF0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TPRZ J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:rsidR="00480796" w:rsidRPr="00246CC9" w:rsidRDefault="00873AE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873AE9">
      <w:rPr>
        <w:rFonts w:ascii="Arial" w:hAnsi="Arial" w:cs="Arial"/>
        <w:bCs/>
        <w:sz w:val="16"/>
        <w:szCs w:val="16"/>
      </w:rPr>
      <w:t>Kidney and Pancreas Post Transplant Bone Disease Management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7B685D"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7B685D">
      <w:rPr>
        <w:rFonts w:ascii="Arial" w:hAnsi="Arial" w:cs="Arial"/>
        <w:noProof/>
        <w:sz w:val="16"/>
      </w:rPr>
      <w:t>3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F0" w:rsidRDefault="00361FF0" w:rsidP="00401E3E">
      <w:r>
        <w:separator/>
      </w:r>
    </w:p>
  </w:footnote>
  <w:footnote w:type="continuationSeparator" w:id="0">
    <w:p w:rsidR="00361FF0" w:rsidRDefault="00361FF0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CFC"/>
    <w:multiLevelType w:val="hybridMultilevel"/>
    <w:tmpl w:val="39C4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23D62"/>
    <w:rsid w:val="000402D1"/>
    <w:rsid w:val="00045E70"/>
    <w:rsid w:val="00061A36"/>
    <w:rsid w:val="0007395E"/>
    <w:rsid w:val="0008689D"/>
    <w:rsid w:val="000B2B8C"/>
    <w:rsid w:val="000C5CA1"/>
    <w:rsid w:val="000E6894"/>
    <w:rsid w:val="000E7E6C"/>
    <w:rsid w:val="000F530B"/>
    <w:rsid w:val="00120DE3"/>
    <w:rsid w:val="00132810"/>
    <w:rsid w:val="00150BDD"/>
    <w:rsid w:val="001644D7"/>
    <w:rsid w:val="001713CF"/>
    <w:rsid w:val="0018574A"/>
    <w:rsid w:val="001864B9"/>
    <w:rsid w:val="0019168D"/>
    <w:rsid w:val="001921CD"/>
    <w:rsid w:val="001C53F2"/>
    <w:rsid w:val="001F3959"/>
    <w:rsid w:val="001F57BC"/>
    <w:rsid w:val="00200AA8"/>
    <w:rsid w:val="00233309"/>
    <w:rsid w:val="00246CC9"/>
    <w:rsid w:val="0025127C"/>
    <w:rsid w:val="00256706"/>
    <w:rsid w:val="002748A1"/>
    <w:rsid w:val="002D108E"/>
    <w:rsid w:val="002E271B"/>
    <w:rsid w:val="002F6E47"/>
    <w:rsid w:val="00333E04"/>
    <w:rsid w:val="00336321"/>
    <w:rsid w:val="00361FF0"/>
    <w:rsid w:val="00382155"/>
    <w:rsid w:val="00393227"/>
    <w:rsid w:val="003A4628"/>
    <w:rsid w:val="003B5761"/>
    <w:rsid w:val="003B7ECF"/>
    <w:rsid w:val="003C28C8"/>
    <w:rsid w:val="003C503D"/>
    <w:rsid w:val="003E6AFD"/>
    <w:rsid w:val="00401E3E"/>
    <w:rsid w:val="004126E0"/>
    <w:rsid w:val="00416B26"/>
    <w:rsid w:val="00431B86"/>
    <w:rsid w:val="00480796"/>
    <w:rsid w:val="004B1E9F"/>
    <w:rsid w:val="004B4F03"/>
    <w:rsid w:val="004C0BC9"/>
    <w:rsid w:val="00576F37"/>
    <w:rsid w:val="005819A1"/>
    <w:rsid w:val="00583551"/>
    <w:rsid w:val="005E39CF"/>
    <w:rsid w:val="00603A28"/>
    <w:rsid w:val="00614208"/>
    <w:rsid w:val="00614AEB"/>
    <w:rsid w:val="00633FB9"/>
    <w:rsid w:val="006D430A"/>
    <w:rsid w:val="006E1DF5"/>
    <w:rsid w:val="006E2CC2"/>
    <w:rsid w:val="006E75BD"/>
    <w:rsid w:val="006F1E72"/>
    <w:rsid w:val="006F63C5"/>
    <w:rsid w:val="00713C08"/>
    <w:rsid w:val="00715B6F"/>
    <w:rsid w:val="00734CC6"/>
    <w:rsid w:val="00757FDD"/>
    <w:rsid w:val="00760338"/>
    <w:rsid w:val="0079159D"/>
    <w:rsid w:val="007B685D"/>
    <w:rsid w:val="007D511F"/>
    <w:rsid w:val="00814D3F"/>
    <w:rsid w:val="008241EB"/>
    <w:rsid w:val="00845FB4"/>
    <w:rsid w:val="00852000"/>
    <w:rsid w:val="00873AE9"/>
    <w:rsid w:val="00875DA7"/>
    <w:rsid w:val="0089061D"/>
    <w:rsid w:val="008D7768"/>
    <w:rsid w:val="009006C3"/>
    <w:rsid w:val="009604D2"/>
    <w:rsid w:val="00963E08"/>
    <w:rsid w:val="009A336F"/>
    <w:rsid w:val="009F5419"/>
    <w:rsid w:val="00A03BB9"/>
    <w:rsid w:val="00A37CE8"/>
    <w:rsid w:val="00A85449"/>
    <w:rsid w:val="00A96893"/>
    <w:rsid w:val="00A973EE"/>
    <w:rsid w:val="00AE1A4C"/>
    <w:rsid w:val="00B151A5"/>
    <w:rsid w:val="00B33F1F"/>
    <w:rsid w:val="00B445CB"/>
    <w:rsid w:val="00B73833"/>
    <w:rsid w:val="00B84D55"/>
    <w:rsid w:val="00BB723E"/>
    <w:rsid w:val="00BE1C28"/>
    <w:rsid w:val="00BF3DB6"/>
    <w:rsid w:val="00C05CA7"/>
    <w:rsid w:val="00C07430"/>
    <w:rsid w:val="00C30C5D"/>
    <w:rsid w:val="00C85AB2"/>
    <w:rsid w:val="00CF234E"/>
    <w:rsid w:val="00D31825"/>
    <w:rsid w:val="00D328E3"/>
    <w:rsid w:val="00D3467A"/>
    <w:rsid w:val="00D653C1"/>
    <w:rsid w:val="00D77BEA"/>
    <w:rsid w:val="00D82ADA"/>
    <w:rsid w:val="00D877F7"/>
    <w:rsid w:val="00DB0275"/>
    <w:rsid w:val="00DB6E7A"/>
    <w:rsid w:val="00DD03E3"/>
    <w:rsid w:val="00DF0384"/>
    <w:rsid w:val="00DF5DAD"/>
    <w:rsid w:val="00E34C80"/>
    <w:rsid w:val="00E423C9"/>
    <w:rsid w:val="00E738BE"/>
    <w:rsid w:val="00E90DA4"/>
    <w:rsid w:val="00EC0A28"/>
    <w:rsid w:val="00ED23B3"/>
    <w:rsid w:val="00EF6564"/>
    <w:rsid w:val="00F25CCE"/>
    <w:rsid w:val="00F31EFD"/>
    <w:rsid w:val="00F42056"/>
    <w:rsid w:val="00F50CD4"/>
    <w:rsid w:val="00F5301C"/>
    <w:rsid w:val="00F7188F"/>
    <w:rsid w:val="00F747D4"/>
    <w:rsid w:val="00F802BC"/>
    <w:rsid w:val="00F9095C"/>
    <w:rsid w:val="00FA31CD"/>
    <w:rsid w:val="00FD489A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5A301C9-DDC9-442E-BE17-FCA72CE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7741-98A9-4155-A6C4-FBA1DEF3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Begley</dc:creator>
  <cp:keywords/>
  <dc:description/>
  <cp:lastModifiedBy>Beth Begley</cp:lastModifiedBy>
  <cp:revision>2</cp:revision>
  <dcterms:created xsi:type="dcterms:W3CDTF">2019-11-17T17:03:00Z</dcterms:created>
  <dcterms:modified xsi:type="dcterms:W3CDTF">2019-11-17T17:03:00Z</dcterms:modified>
</cp:coreProperties>
</file>