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9A" w:rsidRPr="004B39EC" w:rsidRDefault="00A3799A" w:rsidP="00D82AD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65"/>
      </w:tblGrid>
      <w:tr w:rsidR="00576F37" w:rsidRPr="004B39EC" w:rsidTr="00942FE2">
        <w:trPr>
          <w:trHeight w:val="576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:rsidR="00952563" w:rsidRPr="004B39EC" w:rsidRDefault="00E25737" w:rsidP="000C748C">
            <w:pPr>
              <w:autoSpaceDE w:val="0"/>
              <w:autoSpaceDN w:val="0"/>
              <w:adjustRightInd w:val="0"/>
              <w:ind w:left="3240" w:hanging="3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PROTOCOL</w:t>
            </w:r>
            <w:r w:rsidR="000716B5" w:rsidRPr="004B39EC">
              <w:rPr>
                <w:rFonts w:ascii="Arial" w:hAnsi="Arial" w:cs="Arial"/>
                <w:b/>
              </w:rPr>
              <w:t xml:space="preserve"> </w:t>
            </w:r>
            <w:r w:rsidR="00576F37" w:rsidRPr="004B39EC">
              <w:rPr>
                <w:rFonts w:ascii="Arial" w:hAnsi="Arial" w:cs="Arial"/>
                <w:b/>
              </w:rPr>
              <w:t>TITLE</w:t>
            </w:r>
            <w:r w:rsidR="003D7EBC" w:rsidRPr="004B39EC">
              <w:rPr>
                <w:rFonts w:ascii="Arial" w:hAnsi="Arial" w:cs="Arial"/>
                <w:b/>
              </w:rPr>
              <w:t xml:space="preserve">:  </w:t>
            </w:r>
            <w:r w:rsidR="00CD78FA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D662C7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942FE2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F31328">
              <w:rPr>
                <w:rFonts w:ascii="Helv" w:hAnsi="Helv" w:cs="Helv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630FAF">
              <w:rPr>
                <w:rFonts w:ascii="Helv" w:hAnsi="Helv" w:cs="Helv"/>
                <w:b/>
                <w:bCs/>
                <w:color w:val="000080"/>
                <w:sz w:val="36"/>
                <w:szCs w:val="36"/>
              </w:rPr>
              <w:t>Kidney/Pancreas Post Transplant:  Belatacept Conversion Protocol</w:t>
            </w:r>
          </w:p>
        </w:tc>
      </w:tr>
      <w:tr w:rsidR="00576F37" w:rsidRPr="004B39EC" w:rsidTr="00942FE2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F37" w:rsidRPr="004B39EC" w:rsidRDefault="00576F37" w:rsidP="00942FE2">
            <w:pPr>
              <w:spacing w:before="6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APPLICABLE FACILITIES:</w:t>
            </w:r>
            <w:r w:rsidRPr="004B39EC">
              <w:rPr>
                <w:rFonts w:ascii="Arial" w:hAnsi="Arial" w:cs="Arial"/>
              </w:rPr>
              <w:t xml:space="preserve"> </w:t>
            </w:r>
            <w:r w:rsidR="00F444B1" w:rsidRPr="004B39EC">
              <w:rPr>
                <w:rFonts w:ascii="Arial" w:hAnsi="Arial" w:cs="Arial"/>
              </w:rPr>
              <w:t>(</w:t>
            </w:r>
            <w:r w:rsidR="00066FE7" w:rsidRPr="004B39EC">
              <w:rPr>
                <w:rFonts w:ascii="Arial" w:hAnsi="Arial" w:cs="Arial"/>
              </w:rPr>
              <w:t>Check</w:t>
            </w:r>
            <w:r w:rsidR="00F444B1" w:rsidRPr="004B39EC">
              <w:rPr>
                <w:rFonts w:ascii="Arial" w:hAnsi="Arial" w:cs="Arial"/>
              </w:rPr>
              <w:t xml:space="preserve"> all that apply)</w:t>
            </w:r>
          </w:p>
          <w:p w:rsidR="00F444B1" w:rsidRPr="004B39EC" w:rsidRDefault="00376672" w:rsidP="00942FE2">
            <w:pPr>
              <w:spacing w:before="6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4473526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4221954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EUOSH 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50033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EWWH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164594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EUHM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219099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EJCH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30316498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>ESJH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12289052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TEC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0845308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ESA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452696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4B1" w:rsidRPr="004B39EC">
              <w:rPr>
                <w:rFonts w:ascii="Arial" w:hAnsi="Arial" w:cs="Arial"/>
              </w:rPr>
              <w:t>ERH</w:t>
            </w:r>
          </w:p>
        </w:tc>
      </w:tr>
      <w:tr w:rsidR="00A96893" w:rsidRPr="004B39EC" w:rsidTr="00942FE2">
        <w:tc>
          <w:tcPr>
            <w:tcW w:w="5205" w:type="dxa"/>
            <w:tcBorders>
              <w:top w:val="single" w:sz="4" w:space="0" w:color="auto"/>
              <w:bottom w:val="double" w:sz="4" w:space="0" w:color="auto"/>
            </w:tcBorders>
          </w:tcPr>
          <w:p w:rsidR="00A96893" w:rsidRPr="004B39EC" w:rsidRDefault="00A96893" w:rsidP="004B0EFA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EFFECTIVE DATE:</w:t>
            </w: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990709"/>
                <w:placeholder>
                  <w:docPart w:val="DefaultPlaceholder_1081868576"/>
                </w:placeholder>
                <w:date w:fullDate="2018-10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0FAF">
                  <w:rPr>
                    <w:rFonts w:ascii="Arial" w:hAnsi="Arial" w:cs="Arial"/>
                  </w:rPr>
                  <w:t>10/12/2018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bottom w:val="double" w:sz="4" w:space="0" w:color="auto"/>
            </w:tcBorders>
          </w:tcPr>
          <w:p w:rsidR="00A96893" w:rsidRPr="004B39EC" w:rsidRDefault="00A96893" w:rsidP="00DF6530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ORIGINATION DATE</w:t>
            </w:r>
            <w:r w:rsidR="006A7E62" w:rsidRPr="004B39EC">
              <w:rPr>
                <w:rFonts w:ascii="Arial" w:hAnsi="Arial" w:cs="Arial"/>
                <w:b/>
              </w:rPr>
              <w:t xml:space="preserve">:  </w:t>
            </w:r>
            <w:r w:rsidR="00630FAF">
              <w:rPr>
                <w:rFonts w:ascii="Arial" w:hAnsi="Arial" w:cs="Arial"/>
                <w:b/>
              </w:rPr>
              <w:t>10/6/11</w:t>
            </w:r>
          </w:p>
        </w:tc>
      </w:tr>
    </w:tbl>
    <w:p w:rsidR="00D82ADA" w:rsidRDefault="00D82ADA" w:rsidP="00D82ADA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SCOPE</w:t>
      </w:r>
      <w:r w:rsidR="0019168D" w:rsidRPr="004B39EC">
        <w:rPr>
          <w:rFonts w:ascii="Arial" w:hAnsi="Arial" w:cs="Arial"/>
          <w:b/>
          <w:u w:val="single"/>
        </w:rPr>
        <w:t>:</w:t>
      </w:r>
      <w:r w:rsidR="0019168D" w:rsidRPr="004B39EC">
        <w:rPr>
          <w:rFonts w:ascii="Arial" w:hAnsi="Arial" w:cs="Arial"/>
        </w:rPr>
        <w:t xml:space="preserve"> </w:t>
      </w:r>
      <w:r w:rsidR="00300EAC" w:rsidRPr="00CA66D8">
        <w:rPr>
          <w:rFonts w:ascii="Arial" w:hAnsi="Arial" w:cs="Arial"/>
          <w:sz w:val="20"/>
          <w:szCs w:val="20"/>
        </w:rPr>
        <w:t>All transplant program physicians, practitioners and clinical staff members are responsible for compliance with this clinical protocol.</w:t>
      </w:r>
    </w:p>
    <w:p w:rsidR="004B0EFA" w:rsidRPr="004B39EC" w:rsidRDefault="004B0EFA" w:rsidP="00D82ADA">
      <w:pPr>
        <w:rPr>
          <w:rFonts w:ascii="Arial" w:hAnsi="Arial" w:cs="Arial"/>
        </w:rPr>
      </w:pPr>
    </w:p>
    <w:p w:rsidR="00D82ADA" w:rsidRDefault="00D82ADA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PURPOSE</w:t>
      </w:r>
      <w:r w:rsidR="0019168D" w:rsidRPr="004B39EC">
        <w:rPr>
          <w:rFonts w:ascii="Arial" w:hAnsi="Arial" w:cs="Arial"/>
          <w:b/>
          <w:u w:val="single"/>
        </w:rPr>
        <w:t>:</w:t>
      </w:r>
      <w:r w:rsidR="00654AB1" w:rsidRPr="00630FAF">
        <w:rPr>
          <w:rFonts w:ascii="Arial" w:hAnsi="Arial" w:cs="Arial"/>
        </w:rPr>
        <w:t xml:space="preserve">  </w:t>
      </w:r>
      <w:r w:rsidR="00654AB1" w:rsidRPr="00103837">
        <w:rPr>
          <w:rFonts w:ascii="Arial" w:hAnsi="Arial" w:cs="Arial"/>
          <w:sz w:val="20"/>
          <w:szCs w:val="20"/>
        </w:rPr>
        <w:t>This protocol provides guidelines on the conversion of patients fr</w:t>
      </w:r>
      <w:r w:rsidR="00654AB1">
        <w:rPr>
          <w:rFonts w:ascii="Arial" w:hAnsi="Arial" w:cs="Arial"/>
          <w:sz w:val="20"/>
          <w:szCs w:val="20"/>
        </w:rPr>
        <w:t xml:space="preserve">om a </w:t>
      </w:r>
      <w:proofErr w:type="spellStart"/>
      <w:r w:rsidR="00654AB1">
        <w:rPr>
          <w:rFonts w:ascii="Arial" w:hAnsi="Arial" w:cs="Arial"/>
          <w:sz w:val="20"/>
          <w:szCs w:val="20"/>
        </w:rPr>
        <w:t>calcineurin</w:t>
      </w:r>
      <w:proofErr w:type="spellEnd"/>
      <w:r w:rsidR="00654AB1">
        <w:rPr>
          <w:rFonts w:ascii="Arial" w:hAnsi="Arial" w:cs="Arial"/>
          <w:sz w:val="20"/>
          <w:szCs w:val="20"/>
        </w:rPr>
        <w:t xml:space="preserve"> inhibitor (CNI</w:t>
      </w:r>
      <w:r w:rsidR="00654AB1" w:rsidRPr="00103837">
        <w:rPr>
          <w:rFonts w:ascii="Arial" w:hAnsi="Arial" w:cs="Arial"/>
          <w:sz w:val="20"/>
          <w:szCs w:val="20"/>
        </w:rPr>
        <w:t>) based regimen to a belatacept based regimen.</w:t>
      </w:r>
    </w:p>
    <w:p w:rsidR="004B0EFA" w:rsidRPr="004B39EC" w:rsidRDefault="004B0EFA" w:rsidP="00D82ADA">
      <w:pPr>
        <w:rPr>
          <w:rFonts w:ascii="Arial" w:hAnsi="Arial" w:cs="Arial"/>
          <w:b/>
          <w:u w:val="single"/>
        </w:rPr>
      </w:pPr>
    </w:p>
    <w:p w:rsidR="00D82ADA" w:rsidRPr="004B39EC" w:rsidRDefault="00E25737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PROTOCOL</w:t>
      </w:r>
      <w:r w:rsidR="0019168D" w:rsidRPr="004B39EC">
        <w:rPr>
          <w:rFonts w:ascii="Arial" w:hAnsi="Arial" w:cs="Arial"/>
          <w:b/>
        </w:rPr>
        <w:t>:</w:t>
      </w:r>
      <w:r w:rsidR="00D82ADA" w:rsidRPr="004B39EC">
        <w:rPr>
          <w:rFonts w:ascii="Arial" w:hAnsi="Arial" w:cs="Arial"/>
        </w:rPr>
        <w:t xml:space="preserve"> </w:t>
      </w:r>
    </w:p>
    <w:p w:rsidR="004B39EC" w:rsidRPr="004B39EC" w:rsidRDefault="004B39EC" w:rsidP="004B39E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7D35E1" w:rsidRDefault="00654AB1" w:rsidP="007D35E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="007D35E1" w:rsidRPr="00CA66D8">
        <w:rPr>
          <w:rFonts w:ascii="Arial" w:hAnsi="Arial" w:cs="Arial"/>
          <w:sz w:val="20"/>
          <w:szCs w:val="20"/>
        </w:rPr>
        <w:t xml:space="preserve">he Emory Transplant Center and all the solid organ transplant programs will comply with all applicable federal, state, and local laws, regulations, policies and protocols regarding the management of transplant patients.  </w:t>
      </w:r>
      <w:r w:rsidR="007D35E1" w:rsidRPr="00CA66D8">
        <w:rPr>
          <w:rFonts w:ascii="Arial" w:hAnsi="Arial" w:cs="Arial"/>
          <w:sz w:val="20"/>
          <w:szCs w:val="20"/>
        </w:rPr>
        <w:br/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831C15">
        <w:rPr>
          <w:rFonts w:ascii="Arial" w:hAnsi="Arial" w:cs="Arial"/>
          <w:b/>
          <w:bCs/>
          <w:sz w:val="20"/>
          <w:szCs w:val="20"/>
          <w:u w:val="single"/>
        </w:rPr>
        <w:t>TARGET PATIENT POPULATIONS:</w:t>
      </w:r>
      <w:r w:rsidRPr="00831C1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3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hronic allograft nephropathy (CAN) / </w:t>
      </w:r>
      <w:proofErr w:type="spellStart"/>
      <w:r>
        <w:rPr>
          <w:rFonts w:ascii="Arial" w:hAnsi="Arial" w:cs="Arial"/>
          <w:sz w:val="20"/>
          <w:szCs w:val="20"/>
        </w:rPr>
        <w:t>Calcineurin</w:t>
      </w:r>
      <w:proofErr w:type="spellEnd"/>
      <w:r>
        <w:rPr>
          <w:rFonts w:ascii="Arial" w:hAnsi="Arial" w:cs="Arial"/>
          <w:sz w:val="20"/>
          <w:szCs w:val="20"/>
        </w:rPr>
        <w:t xml:space="preserve"> inhibitor (CNI)</w:t>
      </w:r>
      <w:r w:rsidRPr="00831C15">
        <w:rPr>
          <w:rFonts w:ascii="Arial" w:hAnsi="Arial" w:cs="Arial"/>
          <w:sz w:val="20"/>
          <w:szCs w:val="20"/>
        </w:rPr>
        <w:t xml:space="preserve"> toxicity on biopsy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3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Other CNI intolerance (TMA, Tremors, H/A, NODAT)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3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Patients who may benefit from long-term CNI avoidance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831C15">
        <w:rPr>
          <w:rFonts w:ascii="Arial" w:hAnsi="Arial" w:cs="Arial"/>
          <w:b/>
          <w:bCs/>
          <w:sz w:val="20"/>
          <w:szCs w:val="20"/>
          <w:u w:val="single"/>
        </w:rPr>
        <w:t>CONVERSION CONSIDERATIONS:</w:t>
      </w:r>
    </w:p>
    <w:p w:rsidR="007D35E1" w:rsidRPr="00831C15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Patients must meet standard belatacept criteria as outlined in the renal transplant primary protocol</w:t>
      </w:r>
      <w:r>
        <w:rPr>
          <w:rFonts w:ascii="Arial" w:hAnsi="Arial" w:cs="Arial"/>
          <w:sz w:val="20"/>
          <w:szCs w:val="20"/>
        </w:rPr>
        <w:t>.  Belatacept screening should be documented in EeMR.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EBV positive serology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Kidney transplant only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No history of lymphoma, PTLD, or hematologic malignancy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No history of HIV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No IV access issues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No transportation limitations</w:t>
      </w:r>
    </w:p>
    <w:p w:rsidR="007D35E1" w:rsidRPr="00831C15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adequate dosing of b</w:t>
      </w:r>
      <w:r w:rsidRPr="00831C15">
        <w:rPr>
          <w:rFonts w:ascii="Arial" w:hAnsi="Arial" w:cs="Arial"/>
          <w:sz w:val="20"/>
          <w:szCs w:val="20"/>
        </w:rPr>
        <w:t>aseline immunosuppressio</w:t>
      </w:r>
      <w:r>
        <w:rPr>
          <w:rFonts w:ascii="Arial" w:hAnsi="Arial" w:cs="Arial"/>
          <w:sz w:val="20"/>
          <w:szCs w:val="20"/>
        </w:rPr>
        <w:t>n (</w:t>
      </w:r>
      <w:r w:rsidRPr="00831C15">
        <w:rPr>
          <w:rFonts w:ascii="Arial" w:hAnsi="Arial" w:cs="Arial"/>
          <w:sz w:val="20"/>
          <w:szCs w:val="20"/>
        </w:rPr>
        <w:t>with the exception of the CNI agent that is being discontinued) during the conversion.</w:t>
      </w:r>
    </w:p>
    <w:p w:rsidR="007D35E1" w:rsidRPr="00831C15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Patients at higher immunologic risk should be carefully considered prior to conversion: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Prior graft loss due to acute rejection</w:t>
      </w:r>
      <w:r w:rsidRPr="00831C15">
        <w:rPr>
          <w:sz w:val="20"/>
          <w:szCs w:val="20"/>
        </w:rPr>
        <w:t xml:space="preserve"> 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Recent acute rejection (within 3 months)</w:t>
      </w:r>
      <w:r w:rsidRPr="00831C15">
        <w:rPr>
          <w:sz w:val="20"/>
          <w:szCs w:val="20"/>
        </w:rPr>
        <w:t xml:space="preserve"> </w:t>
      </w:r>
    </w:p>
    <w:p w:rsidR="007D35E1" w:rsidRDefault="007D35E1" w:rsidP="007D35E1">
      <w:pPr>
        <w:autoSpaceDE w:val="0"/>
        <w:autoSpaceDN w:val="0"/>
        <w:adjustRightInd w:val="0"/>
        <w:spacing w:before="100" w:after="100"/>
        <w:ind w:left="2160" w:hanging="360"/>
        <w:rPr>
          <w:rFonts w:ascii="Arial" w:hAnsi="Arial" w:cs="Arial"/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 xml:space="preserve">Banff 97 IIA or higher acute rejection </w:t>
      </w:r>
    </w:p>
    <w:p w:rsidR="007D35E1" w:rsidRPr="00831C15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831C15">
        <w:rPr>
          <w:rFonts w:ascii="Arial" w:hAnsi="Arial" w:cs="Arial"/>
          <w:sz w:val="20"/>
          <w:szCs w:val="20"/>
        </w:rPr>
        <w:t>Women of child bearing potential who wish to pursue pregnancy post-transplant should be specifically counseled on risks versus benefits regarding conversion.</w:t>
      </w:r>
      <w:r w:rsidRPr="00831C15">
        <w:rPr>
          <w:sz w:val="20"/>
          <w:szCs w:val="20"/>
        </w:rPr>
        <w:t xml:space="preserve"> </w:t>
      </w:r>
    </w:p>
    <w:p w:rsidR="007D35E1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5945B3">
        <w:rPr>
          <w:rFonts w:ascii="Arial" w:hAnsi="Arial" w:cs="Arial"/>
          <w:sz w:val="20"/>
          <w:szCs w:val="20"/>
        </w:rPr>
        <w:t xml:space="preserve">Financial implications of conversion to belatacept for the </w:t>
      </w:r>
      <w:r w:rsidRPr="00D25CB0">
        <w:rPr>
          <w:rFonts w:ascii="Arial" w:hAnsi="Arial" w:cs="Arial"/>
          <w:sz w:val="20"/>
          <w:szCs w:val="20"/>
        </w:rPr>
        <w:t>patient should be assessed and discussed with the patient.</w:t>
      </w:r>
    </w:p>
    <w:p w:rsidR="007D35E1" w:rsidRPr="00D25CB0" w:rsidRDefault="007D35E1" w:rsidP="007D35E1">
      <w:pPr>
        <w:numPr>
          <w:ilvl w:val="0"/>
          <w:numId w:val="46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5945B3">
        <w:rPr>
          <w:rFonts w:ascii="Arial" w:hAnsi="Arial" w:cs="Arial"/>
          <w:sz w:val="20"/>
          <w:szCs w:val="20"/>
        </w:rPr>
        <w:lastRenderedPageBreak/>
        <w:t xml:space="preserve">Prior to conversion, belatacept conversion note </w:t>
      </w:r>
      <w:r>
        <w:rPr>
          <w:rFonts w:ascii="Arial" w:hAnsi="Arial" w:cs="Arial"/>
          <w:sz w:val="20"/>
          <w:szCs w:val="20"/>
        </w:rPr>
        <w:t>must</w:t>
      </w:r>
      <w:r w:rsidRPr="005945B3">
        <w:rPr>
          <w:rFonts w:ascii="Arial" w:hAnsi="Arial" w:cs="Arial"/>
          <w:sz w:val="20"/>
          <w:szCs w:val="20"/>
        </w:rPr>
        <w:t xml:space="preserve"> be documented in EeMR and belatacept coordinator notified (see attached workflow).</w:t>
      </w:r>
    </w:p>
    <w:p w:rsidR="007D35E1" w:rsidRDefault="007D35E1" w:rsidP="007D35E1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 w:val="20"/>
          <w:szCs w:val="20"/>
        </w:rPr>
      </w:pP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  <w:u w:val="single"/>
        </w:rPr>
        <w:t>IMMEDIATE</w:t>
      </w:r>
      <w:r w:rsidRPr="00831C15">
        <w:rPr>
          <w:rFonts w:ascii="Arial" w:hAnsi="Arial" w:cs="Arial"/>
          <w:b/>
          <w:bCs/>
          <w:sz w:val="20"/>
          <w:szCs w:val="20"/>
          <w:u w:val="single"/>
        </w:rPr>
        <w:t xml:space="preserve"> CONVERSION SCHEDULE </w:t>
      </w:r>
    </w:p>
    <w:p w:rsidR="007D35E1" w:rsidRDefault="007D35E1" w:rsidP="007D35E1">
      <w:pPr>
        <w:numPr>
          <w:ilvl w:val="0"/>
          <w:numId w:val="43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patients with toxicity necessitating immediate discontinuation of CNI (i.e. TMA)</w:t>
      </w:r>
    </w:p>
    <w:p w:rsidR="007D35E1" w:rsidRPr="00831C15" w:rsidRDefault="007D35E1" w:rsidP="007D35E1">
      <w:pPr>
        <w:numPr>
          <w:ilvl w:val="0"/>
          <w:numId w:val="43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Per package insert.  </w:t>
      </w:r>
      <w:r w:rsidRPr="00831C15">
        <w:rPr>
          <w:rFonts w:ascii="Arial" w:hAnsi="Arial" w:cs="Arial"/>
          <w:sz w:val="20"/>
          <w:szCs w:val="20"/>
        </w:rPr>
        <w:t>Belatacept 10 mg/kg IV</w:t>
      </w:r>
      <w:r>
        <w:rPr>
          <w:rFonts w:ascii="Arial" w:hAnsi="Arial" w:cs="Arial"/>
          <w:sz w:val="20"/>
          <w:szCs w:val="20"/>
        </w:rPr>
        <w:t>PB</w:t>
      </w:r>
      <w:r w:rsidRPr="00831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day 1, day 5, day 14, month 1, month 2, and month 3.  Reduce to 5mg/kg IVPB beginning month 4 and continue monthly thereafter. </w:t>
      </w:r>
    </w:p>
    <w:p w:rsidR="007D35E1" w:rsidRDefault="007D35E1" w:rsidP="007D35E1">
      <w:pPr>
        <w:numPr>
          <w:ilvl w:val="0"/>
          <w:numId w:val="43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CNI dosing</w:t>
      </w:r>
      <w:r>
        <w:rPr>
          <w:rFonts w:ascii="Arial" w:hAnsi="Arial" w:cs="Arial"/>
          <w:sz w:val="20"/>
          <w:szCs w:val="20"/>
        </w:rPr>
        <w:t>:  Discontinue the first day belatacept is dosed</w:t>
      </w:r>
    </w:p>
    <w:p w:rsidR="007D35E1" w:rsidRDefault="007D35E1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&lt; 1 YEAR POST-TRANSPLANT</w:t>
      </w:r>
      <w:r w:rsidRPr="00831C15">
        <w:rPr>
          <w:rFonts w:ascii="Arial" w:hAnsi="Arial" w:cs="Arial"/>
          <w:b/>
          <w:bCs/>
          <w:sz w:val="20"/>
          <w:szCs w:val="20"/>
          <w:u w:val="single"/>
        </w:rPr>
        <w:t xml:space="preserve"> CONVERSION SCHEDULE</w:t>
      </w:r>
    </w:p>
    <w:p w:rsidR="007D35E1" w:rsidRDefault="007D35E1" w:rsidP="007D35E1">
      <w:pPr>
        <w:numPr>
          <w:ilvl w:val="0"/>
          <w:numId w:val="44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patients with significant CNI toxicity or intolerances</w:t>
      </w:r>
    </w:p>
    <w:p w:rsidR="007D35E1" w:rsidRDefault="007D35E1" w:rsidP="007D35E1">
      <w:pPr>
        <w:numPr>
          <w:ilvl w:val="0"/>
          <w:numId w:val="44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</w:t>
      </w:r>
      <w:r w:rsidRPr="00831C15">
        <w:rPr>
          <w:rFonts w:ascii="Arial" w:hAnsi="Arial" w:cs="Arial"/>
          <w:sz w:val="20"/>
          <w:szCs w:val="20"/>
        </w:rPr>
        <w:t xml:space="preserve">Belatacept </w:t>
      </w:r>
      <w:r>
        <w:rPr>
          <w:rFonts w:ascii="Arial" w:hAnsi="Arial" w:cs="Arial"/>
          <w:sz w:val="20"/>
          <w:szCs w:val="20"/>
        </w:rPr>
        <w:t>10</w:t>
      </w:r>
      <w:r w:rsidRPr="00831C15">
        <w:rPr>
          <w:rFonts w:ascii="Arial" w:hAnsi="Arial" w:cs="Arial"/>
          <w:sz w:val="20"/>
          <w:szCs w:val="20"/>
        </w:rPr>
        <w:t xml:space="preserve"> mg/kg IV</w:t>
      </w:r>
      <w:r>
        <w:rPr>
          <w:rFonts w:ascii="Arial" w:hAnsi="Arial" w:cs="Arial"/>
          <w:sz w:val="20"/>
          <w:szCs w:val="20"/>
        </w:rPr>
        <w:t>PB</w:t>
      </w:r>
      <w:r w:rsidRPr="00831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first dose, then 5mg/kg monthly thereafter</w:t>
      </w:r>
    </w:p>
    <w:p w:rsidR="007D35E1" w:rsidRDefault="007D35E1" w:rsidP="007D35E1">
      <w:pPr>
        <w:numPr>
          <w:ilvl w:val="0"/>
          <w:numId w:val="44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CNI </w:t>
      </w:r>
      <w:r w:rsidRPr="0052327B">
        <w:rPr>
          <w:rFonts w:ascii="Arial" w:hAnsi="Arial" w:cs="Arial"/>
          <w:b/>
          <w:sz w:val="20"/>
          <w:szCs w:val="20"/>
        </w:rPr>
        <w:t>dosing</w:t>
      </w:r>
      <w:r w:rsidRPr="0086709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52327B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 xml:space="preserve"> tacrolimus trough to 5-8 ng/ml for 1</w:t>
      </w:r>
      <w:r w:rsidRPr="0053398F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month, then reduce to 3-5ng/ml for a minimum of 3 months </w:t>
      </w:r>
      <w:r w:rsidRPr="00867098">
        <w:rPr>
          <w:rFonts w:ascii="Arial" w:hAnsi="Arial" w:cs="Arial"/>
          <w:b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until at least 6 months post-transplant.  Wean over 3 months per weaning table below</w:t>
      </w: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ind w:left="720"/>
        <w:rPr>
          <w:sz w:val="20"/>
          <w:szCs w:val="20"/>
        </w:rPr>
      </w:pPr>
    </w:p>
    <w:p w:rsidR="007D35E1" w:rsidRPr="00831C15" w:rsidRDefault="007D35E1" w:rsidP="007D35E1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&gt; 1 YEAR POST-TRANSPLANT C</w:t>
      </w:r>
      <w:r w:rsidRPr="00831C15">
        <w:rPr>
          <w:rFonts w:ascii="Arial" w:hAnsi="Arial" w:cs="Arial"/>
          <w:b/>
          <w:bCs/>
          <w:sz w:val="20"/>
          <w:szCs w:val="20"/>
          <w:u w:val="single"/>
        </w:rPr>
        <w:t xml:space="preserve">ONVERSION SCHEDULE </w:t>
      </w:r>
    </w:p>
    <w:p w:rsidR="007D35E1" w:rsidRDefault="007D35E1" w:rsidP="007D35E1">
      <w:pPr>
        <w:numPr>
          <w:ilvl w:val="0"/>
          <w:numId w:val="45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patients with CNI toxicity, intolerance, or who may benefit from long-term CNI avoidance</w:t>
      </w:r>
    </w:p>
    <w:p w:rsidR="007D35E1" w:rsidRPr="00867098" w:rsidRDefault="007D35E1" w:rsidP="007D35E1">
      <w:pPr>
        <w:numPr>
          <w:ilvl w:val="0"/>
          <w:numId w:val="44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</w:t>
      </w:r>
      <w:r w:rsidRPr="00831C15">
        <w:rPr>
          <w:rFonts w:ascii="Arial" w:hAnsi="Arial" w:cs="Arial"/>
          <w:sz w:val="20"/>
          <w:szCs w:val="20"/>
        </w:rPr>
        <w:t xml:space="preserve">Belatacept </w:t>
      </w:r>
      <w:r>
        <w:rPr>
          <w:rFonts w:ascii="Arial" w:hAnsi="Arial" w:cs="Arial"/>
          <w:sz w:val="20"/>
          <w:szCs w:val="20"/>
        </w:rPr>
        <w:t>10</w:t>
      </w:r>
      <w:r w:rsidRPr="00831C15">
        <w:rPr>
          <w:rFonts w:ascii="Arial" w:hAnsi="Arial" w:cs="Arial"/>
          <w:sz w:val="20"/>
          <w:szCs w:val="20"/>
        </w:rPr>
        <w:t xml:space="preserve"> mg/kg IV</w:t>
      </w:r>
      <w:r>
        <w:rPr>
          <w:rFonts w:ascii="Arial" w:hAnsi="Arial" w:cs="Arial"/>
          <w:sz w:val="20"/>
          <w:szCs w:val="20"/>
        </w:rPr>
        <w:t>PB</w:t>
      </w:r>
      <w:r w:rsidRPr="00831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first dose, then 5mg/kg monthly thereafter</w:t>
      </w:r>
    </w:p>
    <w:p w:rsidR="007D35E1" w:rsidRPr="00867098" w:rsidRDefault="007D35E1" w:rsidP="007D35E1">
      <w:pPr>
        <w:numPr>
          <w:ilvl w:val="0"/>
          <w:numId w:val="45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CNI dosing:</w:t>
      </w:r>
      <w:r>
        <w:rPr>
          <w:rFonts w:ascii="Arial" w:hAnsi="Arial" w:cs="Arial"/>
          <w:sz w:val="20"/>
          <w:szCs w:val="20"/>
        </w:rPr>
        <w:t xml:space="preserve">  Wean over 3 months per weaning table below</w:t>
      </w:r>
    </w:p>
    <w:p w:rsidR="007D35E1" w:rsidRPr="00867098" w:rsidRDefault="007D35E1" w:rsidP="007D35E1">
      <w:pPr>
        <w:numPr>
          <w:ilvl w:val="0"/>
          <w:numId w:val="45"/>
        </w:numPr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Labs:  </w:t>
      </w:r>
      <w:r w:rsidRPr="00867098">
        <w:rPr>
          <w:rFonts w:ascii="Arial" w:hAnsi="Arial" w:cs="Arial"/>
          <w:sz w:val="20"/>
          <w:szCs w:val="20"/>
        </w:rPr>
        <w:t xml:space="preserve">Every other week labs </w:t>
      </w:r>
      <w:r>
        <w:rPr>
          <w:rFonts w:ascii="Arial" w:hAnsi="Arial" w:cs="Arial"/>
          <w:sz w:val="20"/>
          <w:szCs w:val="20"/>
        </w:rPr>
        <w:t xml:space="preserve">for 4 months (or </w:t>
      </w:r>
      <w:r w:rsidRPr="00867098">
        <w:rPr>
          <w:rFonts w:ascii="Arial" w:hAnsi="Arial" w:cs="Arial"/>
          <w:sz w:val="20"/>
          <w:szCs w:val="20"/>
        </w:rPr>
        <w:t xml:space="preserve">until 1 month after discontinuation of </w:t>
      </w:r>
      <w:r>
        <w:rPr>
          <w:rFonts w:ascii="Arial" w:hAnsi="Arial" w:cs="Arial"/>
          <w:sz w:val="20"/>
          <w:szCs w:val="20"/>
        </w:rPr>
        <w:t>tacrolimus)</w:t>
      </w:r>
    </w:p>
    <w:p w:rsidR="007D35E1" w:rsidRDefault="007D35E1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0"/>
          <w:szCs w:val="20"/>
        </w:rPr>
      </w:pPr>
    </w:p>
    <w:p w:rsidR="007D35E1" w:rsidRPr="00867098" w:rsidRDefault="007D35E1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Tacrolimus Weaning table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561"/>
        <w:gridCol w:w="2882"/>
        <w:gridCol w:w="3125"/>
      </w:tblGrid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>
              <w:t>Dose at time of wean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67098" w:rsidRDefault="007D35E1" w:rsidP="001D5312">
            <w:pPr>
              <w:jc w:val="center"/>
            </w:pPr>
            <w:r>
              <w:t>After 1</w:t>
            </w:r>
            <w:r w:rsidRPr="00867098">
              <w:rPr>
                <w:vertAlign w:val="superscript"/>
              </w:rPr>
              <w:t>st</w:t>
            </w:r>
            <w:r>
              <w:t xml:space="preserve"> month, decrease to: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67098" w:rsidRDefault="007D35E1" w:rsidP="001D5312">
            <w:pPr>
              <w:jc w:val="center"/>
            </w:pPr>
            <w:r>
              <w:t>After 2</w:t>
            </w:r>
            <w:r w:rsidRPr="00867098">
              <w:rPr>
                <w:vertAlign w:val="superscript"/>
              </w:rPr>
              <w:t>nd</w:t>
            </w:r>
            <w:r>
              <w:t xml:space="preserve"> m</w:t>
            </w:r>
            <w:r w:rsidRPr="00851805">
              <w:t>onth</w:t>
            </w:r>
            <w:r>
              <w:t>, decrease to: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pPr>
              <w:jc w:val="center"/>
            </w:pPr>
            <w:r>
              <w:t>After 3</w:t>
            </w:r>
            <w:r w:rsidRPr="00867098">
              <w:rPr>
                <w:vertAlign w:val="superscript"/>
              </w:rPr>
              <w:t>rd</w:t>
            </w:r>
            <w:r>
              <w:t xml:space="preserve"> month: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q12h (Prograf level &lt;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daily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--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0.5mg q12h (Prograf level &gt;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daily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0.5mg every other day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1mg daily (Prograf level &lt;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daily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--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1mg daily (Prograf level &gt;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daily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0.5mg every other day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1mg q12h (Prograf level &lt;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 mg daily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--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1mg q12h (Prograf level &gt;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0.5 mg daily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2mg q12h (Prograf level &lt;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 mg q12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 mg daily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lastRenderedPageBreak/>
              <w:t>2mg q12h (Prograf level &gt; 5 ng/ml)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1.5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2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4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2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5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2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6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4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2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7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5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8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6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9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6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3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  <w:tr w:rsidR="007D35E1" w:rsidRPr="00851805" w:rsidTr="001D5312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10 mg q12h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7 mg q12h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4 mg q12h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5E1" w:rsidRPr="00851805" w:rsidRDefault="007D35E1" w:rsidP="001D5312">
            <w:r w:rsidRPr="00851805">
              <w:t>Discontinue</w:t>
            </w:r>
          </w:p>
        </w:tc>
      </w:tr>
    </w:tbl>
    <w:p w:rsidR="004B39EC" w:rsidRPr="004B39EC" w:rsidRDefault="007D35E1" w:rsidP="00300EAC">
      <w:pPr>
        <w:rPr>
          <w:rFonts w:ascii="Arial" w:hAnsi="Arial" w:cs="Arial"/>
          <w:color w:val="000000"/>
        </w:rPr>
      </w:pPr>
      <w:r w:rsidRPr="00831C15">
        <w:rPr>
          <w:sz w:val="20"/>
          <w:szCs w:val="20"/>
        </w:rPr>
        <w:br/>
      </w:r>
      <w:r w:rsidR="004B39EC" w:rsidRPr="004B39EC">
        <w:rPr>
          <w:rFonts w:ascii="Arial" w:hAnsi="Arial" w:cs="Arial"/>
          <w:color w:val="000000"/>
        </w:rPr>
        <w:tab/>
      </w:r>
    </w:p>
    <w:p w:rsidR="004B39EC" w:rsidRDefault="004B39EC" w:rsidP="004B39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B39EC" w:rsidRPr="004B39EC" w:rsidRDefault="004B39EC" w:rsidP="004B39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27F74" w:rsidRPr="004B39EC" w:rsidRDefault="00427F74" w:rsidP="00427F74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RELATED DOCUMENT(S)/LINK(S):</w:t>
      </w:r>
    </w:p>
    <w:p w:rsidR="007D35E1" w:rsidRPr="00867098" w:rsidRDefault="007D35E1" w:rsidP="007D35E1">
      <w:pPr>
        <w:autoSpaceDE w:val="0"/>
        <w:autoSpaceDN w:val="0"/>
        <w:adjustRightInd w:val="0"/>
        <w:spacing w:before="100" w:after="100"/>
        <w:ind w:left="1800" w:hanging="360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Include Bela Workflow attachment</w:t>
      </w:r>
    </w:p>
    <w:p w:rsidR="00427F74" w:rsidRPr="004B39EC" w:rsidRDefault="00427F74" w:rsidP="00D82ADA">
      <w:pPr>
        <w:rPr>
          <w:rFonts w:ascii="Arial" w:hAnsi="Arial" w:cs="Arial"/>
        </w:rPr>
      </w:pPr>
    </w:p>
    <w:p w:rsidR="00325B29" w:rsidRPr="004B39EC" w:rsidRDefault="00325B29" w:rsidP="00D82ADA">
      <w:pPr>
        <w:rPr>
          <w:rFonts w:ascii="Arial" w:hAnsi="Arial" w:cs="Arial"/>
        </w:rPr>
      </w:pPr>
    </w:p>
    <w:p w:rsidR="00D82ADA" w:rsidRPr="004B39EC" w:rsidRDefault="00D82ADA" w:rsidP="00D82ADA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DEFINITIONS</w:t>
      </w:r>
      <w:r w:rsidR="0019168D" w:rsidRPr="004B39EC">
        <w:rPr>
          <w:rFonts w:ascii="Arial" w:hAnsi="Arial" w:cs="Arial"/>
          <w:b/>
          <w:u w:val="single"/>
        </w:rPr>
        <w:t>:</w:t>
      </w:r>
      <w:r w:rsidR="00A973EE" w:rsidRPr="004B39EC">
        <w:rPr>
          <w:rFonts w:ascii="Arial" w:hAnsi="Arial" w:cs="Arial"/>
        </w:rPr>
        <w:t xml:space="preserve"> </w:t>
      </w:r>
      <w:r w:rsidR="00A973EE" w:rsidRPr="004B39EC">
        <w:rPr>
          <w:rFonts w:ascii="Arial" w:hAnsi="Arial" w:cs="Arial"/>
          <w:i/>
        </w:rPr>
        <w:t>(</w:t>
      </w:r>
      <w:r w:rsidR="0019168D" w:rsidRPr="004B39EC">
        <w:rPr>
          <w:rFonts w:ascii="Arial" w:hAnsi="Arial" w:cs="Arial"/>
          <w:i/>
        </w:rPr>
        <w:t>If applicable</w:t>
      </w:r>
      <w:r w:rsidR="00A973EE" w:rsidRPr="004B39EC">
        <w:rPr>
          <w:rFonts w:ascii="Arial" w:hAnsi="Arial" w:cs="Arial"/>
          <w:i/>
        </w:rPr>
        <w:t>)</w:t>
      </w:r>
    </w:p>
    <w:p w:rsidR="00325B29" w:rsidRPr="004B39EC" w:rsidRDefault="00D662C7" w:rsidP="00D82ADA">
      <w:pPr>
        <w:rPr>
          <w:rFonts w:ascii="Arial" w:hAnsi="Arial" w:cs="Arial"/>
        </w:rPr>
      </w:pPr>
      <w:r w:rsidRPr="004B39EC">
        <w:rPr>
          <w:rFonts w:ascii="Arial" w:hAnsi="Arial" w:cs="Arial"/>
        </w:rPr>
        <w:t>N/A</w:t>
      </w:r>
    </w:p>
    <w:p w:rsidR="00D662C7" w:rsidRPr="004B39EC" w:rsidRDefault="00D662C7" w:rsidP="00D82ADA">
      <w:pPr>
        <w:rPr>
          <w:rFonts w:ascii="Arial" w:hAnsi="Arial" w:cs="Arial"/>
        </w:rPr>
      </w:pPr>
    </w:p>
    <w:p w:rsidR="00A973EE" w:rsidRPr="004B39EC" w:rsidRDefault="00A973EE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REFERENCES AND SOURCES OF EVIDENCE</w:t>
      </w:r>
      <w:r w:rsidR="0019168D" w:rsidRPr="004B39EC">
        <w:rPr>
          <w:rFonts w:ascii="Arial" w:hAnsi="Arial" w:cs="Arial"/>
          <w:b/>
          <w:u w:val="single"/>
        </w:rPr>
        <w:t>:</w:t>
      </w:r>
    </w:p>
    <w:p w:rsidR="004B39EC" w:rsidRDefault="004B39EC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00EAC" w:rsidRDefault="00300EAC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Rostaing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L et al.  Switching from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Calcineurin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Inhibitor-based Regimens to a Belatacept-based Regimen in Renal Transplant Recipients:  A Randomized Phase II Trial.  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Clin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 xml:space="preserve"> J Am 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Soc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Nephol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 xml:space="preserve"> </w:t>
      </w:r>
      <w:r w:rsidR="00C60EEE">
        <w:rPr>
          <w:rFonts w:ascii="Helv" w:hAnsi="Helv" w:cs="Helv"/>
          <w:color w:val="000000"/>
          <w:sz w:val="20"/>
          <w:szCs w:val="20"/>
        </w:rPr>
        <w:t>2011; 6</w:t>
      </w:r>
      <w:r>
        <w:rPr>
          <w:rFonts w:ascii="Helv" w:hAnsi="Helv" w:cs="Helv"/>
          <w:i/>
          <w:color w:val="000000"/>
          <w:sz w:val="20"/>
          <w:szCs w:val="20"/>
        </w:rPr>
        <w:t xml:space="preserve">: </w:t>
      </w:r>
      <w:r w:rsidR="00C60EEE">
        <w:rPr>
          <w:rFonts w:ascii="Helv" w:hAnsi="Helv" w:cs="Helv"/>
          <w:color w:val="000000"/>
          <w:sz w:val="20"/>
          <w:szCs w:val="20"/>
        </w:rPr>
        <w:t>430-439.</w:t>
      </w:r>
    </w:p>
    <w:p w:rsidR="00C60EEE" w:rsidRDefault="00C60EEE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C60EEE" w:rsidRDefault="00C60EEE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Shen, J et al.  Pharmacokinetics, Pharmacodynamics, and Immunogenicity of Belatacept in Adult Kidney Transplant Recipients.  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Clin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 xml:space="preserve"> Drug 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Investig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2014; 34: 117-126.</w:t>
      </w:r>
    </w:p>
    <w:p w:rsidR="00C60EEE" w:rsidRDefault="00C60EEE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C60EEE" w:rsidRPr="00B8373C" w:rsidRDefault="00C60EEE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Adams A et al.  </w:t>
      </w:r>
      <w:r w:rsidR="00B8373C">
        <w:rPr>
          <w:rFonts w:ascii="Helv" w:hAnsi="Helv" w:cs="Helv"/>
          <w:color w:val="000000"/>
          <w:sz w:val="20"/>
          <w:szCs w:val="20"/>
        </w:rPr>
        <w:t xml:space="preserve">Belatacept Combined with Transient </w:t>
      </w:r>
      <w:proofErr w:type="spellStart"/>
      <w:r w:rsidR="00B8373C">
        <w:rPr>
          <w:rFonts w:ascii="Helv" w:hAnsi="Helv" w:cs="Helv"/>
          <w:color w:val="000000"/>
          <w:sz w:val="20"/>
          <w:szCs w:val="20"/>
        </w:rPr>
        <w:t>Calcineurin</w:t>
      </w:r>
      <w:proofErr w:type="spellEnd"/>
      <w:r w:rsidR="00B8373C">
        <w:rPr>
          <w:rFonts w:ascii="Helv" w:hAnsi="Helv" w:cs="Helv"/>
          <w:color w:val="000000"/>
          <w:sz w:val="20"/>
          <w:szCs w:val="20"/>
        </w:rPr>
        <w:t xml:space="preserve"> Inhibitor Therapy Prevent Rejection and Promotes Improved Long-term Renal </w:t>
      </w:r>
      <w:proofErr w:type="spellStart"/>
      <w:r w:rsidR="00B8373C">
        <w:rPr>
          <w:rFonts w:ascii="Helv" w:hAnsi="Helv" w:cs="Helv"/>
          <w:color w:val="000000"/>
          <w:sz w:val="20"/>
          <w:szCs w:val="20"/>
        </w:rPr>
        <w:t>Allograf</w:t>
      </w:r>
      <w:proofErr w:type="spellEnd"/>
      <w:r w:rsidR="00B8373C">
        <w:rPr>
          <w:rFonts w:ascii="Helv" w:hAnsi="Helv" w:cs="Helv"/>
          <w:color w:val="000000"/>
          <w:sz w:val="20"/>
          <w:szCs w:val="20"/>
        </w:rPr>
        <w:t xml:space="preserve"> Function.  </w:t>
      </w:r>
      <w:r w:rsidR="00B8373C">
        <w:rPr>
          <w:rFonts w:ascii="Helv" w:hAnsi="Helv" w:cs="Helv"/>
          <w:i/>
          <w:color w:val="000000"/>
          <w:sz w:val="20"/>
          <w:szCs w:val="20"/>
        </w:rPr>
        <w:t xml:space="preserve">Am J Transplant </w:t>
      </w:r>
      <w:r w:rsidR="00B8373C">
        <w:rPr>
          <w:rFonts w:ascii="Helv" w:hAnsi="Helv" w:cs="Helv"/>
          <w:color w:val="000000"/>
          <w:sz w:val="20"/>
          <w:szCs w:val="20"/>
        </w:rPr>
        <w:t>2017; 17: 2922-2936.</w:t>
      </w:r>
      <w:r w:rsidR="00B8373C">
        <w:rPr>
          <w:rFonts w:ascii="Helv" w:hAnsi="Helv" w:cs="Helv"/>
          <w:i/>
          <w:color w:val="000000"/>
          <w:sz w:val="20"/>
          <w:szCs w:val="20"/>
        </w:rPr>
        <w:t xml:space="preserve"> </w:t>
      </w:r>
    </w:p>
    <w:p w:rsidR="00D662C7" w:rsidRPr="004B39EC" w:rsidRDefault="00D662C7" w:rsidP="00D82ADA">
      <w:pPr>
        <w:rPr>
          <w:rFonts w:ascii="Arial" w:hAnsi="Arial" w:cs="Arial"/>
        </w:rPr>
      </w:pPr>
    </w:p>
    <w:p w:rsidR="00A973EE" w:rsidRDefault="005E39CF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KEY WORDS:</w:t>
      </w:r>
      <w:r w:rsidR="007D35E1" w:rsidRPr="007D35E1">
        <w:rPr>
          <w:rFonts w:ascii="Arial" w:hAnsi="Arial" w:cs="Arial"/>
        </w:rPr>
        <w:t xml:space="preserve"> </w:t>
      </w:r>
      <w:r w:rsidR="007D35E1">
        <w:rPr>
          <w:rFonts w:ascii="Arial" w:hAnsi="Arial" w:cs="Arial"/>
        </w:rPr>
        <w:t>Belatacept, tacrolimus, conversion</w:t>
      </w:r>
    </w:p>
    <w:p w:rsidR="004B0EFA" w:rsidRPr="004B39EC" w:rsidRDefault="004B0EFA" w:rsidP="00D82AD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4B39EC" w:rsidTr="00BE1C28">
        <w:tc>
          <w:tcPr>
            <w:tcW w:w="10770" w:type="dxa"/>
            <w:gridSpan w:val="2"/>
            <w:tcBorders>
              <w:bottom w:val="nil"/>
            </w:tcBorders>
          </w:tcPr>
          <w:p w:rsidR="00BE1C28" w:rsidRPr="004B39EC" w:rsidRDefault="00233309" w:rsidP="00F31166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004B39EC">
              <w:rPr>
                <w:rFonts w:ascii="Arial" w:hAnsi="Arial" w:cs="Arial"/>
                <w:b/>
                <w:u w:val="single"/>
              </w:rPr>
              <w:t>REVIEW/</w:t>
            </w:r>
            <w:r w:rsidR="00BE1C28" w:rsidRPr="004B39EC">
              <w:rPr>
                <w:rFonts w:ascii="Arial" w:hAnsi="Arial" w:cs="Arial"/>
                <w:b/>
                <w:u w:val="single"/>
              </w:rPr>
              <w:t>APPROVAL SUMMARY:</w:t>
            </w:r>
            <w:r w:rsidR="00BE1C28" w:rsidRPr="004B39EC">
              <w:rPr>
                <w:rFonts w:ascii="Arial" w:hAnsi="Arial" w:cs="Arial"/>
                <w:u w:val="single"/>
              </w:rPr>
              <w:t xml:space="preserve"> </w:t>
            </w:r>
            <w:r w:rsidR="00F31166" w:rsidRPr="004B39EC">
              <w:rPr>
                <w:rFonts w:ascii="Arial" w:hAnsi="Arial" w:cs="Arial"/>
                <w:u w:val="single"/>
              </w:rPr>
              <w:t>Please select all Approving Bodies:</w:t>
            </w:r>
          </w:p>
        </w:tc>
      </w:tr>
      <w:tr w:rsidR="00576F37" w:rsidRPr="004B39EC" w:rsidTr="00150BDD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:rsidR="00576F37" w:rsidRPr="004B39EC" w:rsidRDefault="005C37FC" w:rsidP="00F3116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87095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D0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EUH MEC  </w:t>
            </w:r>
            <w:sdt>
              <w:sdtPr>
                <w:rPr>
                  <w:rFonts w:ascii="Arial" w:hAnsi="Arial" w:cs="Arial"/>
                </w:rPr>
                <w:id w:val="-11446650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 EUHM MEC  </w:t>
            </w:r>
            <w:sdt>
              <w:sdtPr>
                <w:rPr>
                  <w:rFonts w:ascii="Arial" w:hAnsi="Arial" w:cs="Arial"/>
                </w:rPr>
                <w:id w:val="418793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ESJH MEC  </w:t>
            </w:r>
            <w:sdt>
              <w:sdtPr>
                <w:rPr>
                  <w:rFonts w:ascii="Arial" w:hAnsi="Arial" w:cs="Arial"/>
                </w:rPr>
                <w:id w:val="10843399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EJCH MEC  </w:t>
            </w:r>
            <w:sdt>
              <w:sdtPr>
                <w:rPr>
                  <w:rFonts w:ascii="Arial" w:hAnsi="Arial" w:cs="Arial"/>
                </w:rPr>
                <w:id w:val="11794747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CNE Council   </w:t>
            </w:r>
            <w:sdt>
              <w:sdtPr>
                <w:rPr>
                  <w:rFonts w:ascii="Arial" w:hAnsi="Arial" w:cs="Arial"/>
                </w:rPr>
                <w:id w:val="2692857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D0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>System O</w:t>
            </w:r>
            <w:r w:rsidR="0044421B" w:rsidRPr="004B39EC">
              <w:rPr>
                <w:rFonts w:ascii="Arial" w:hAnsi="Arial" w:cs="Arial"/>
              </w:rPr>
              <w:t>perations</w:t>
            </w:r>
          </w:p>
          <w:p w:rsidR="00EB071F" w:rsidRPr="004B39EC" w:rsidRDefault="00EB071F" w:rsidP="00325B29">
            <w:pPr>
              <w:spacing w:before="60"/>
              <w:rPr>
                <w:rFonts w:ascii="Arial" w:hAnsi="Arial" w:cs="Arial"/>
              </w:rPr>
            </w:pPr>
          </w:p>
        </w:tc>
      </w:tr>
      <w:tr w:rsidR="00BE1C28" w:rsidRPr="004B39EC" w:rsidTr="00376672">
        <w:tc>
          <w:tcPr>
            <w:tcW w:w="5925" w:type="dxa"/>
          </w:tcPr>
          <w:p w:rsidR="00BE1C28" w:rsidRPr="004B39EC" w:rsidRDefault="00233309" w:rsidP="000C748C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REVIEW/</w:t>
            </w:r>
            <w:r w:rsidR="00BE1C28" w:rsidRPr="004B39EC">
              <w:rPr>
                <w:rFonts w:ascii="Arial" w:hAnsi="Arial" w:cs="Arial"/>
                <w:b/>
              </w:rPr>
              <w:t>REVISION DATES:</w:t>
            </w:r>
            <w:r w:rsidR="00BE1C28"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1552083"/>
                <w:placeholder>
                  <w:docPart w:val="DefaultPlaceholder_1081868576"/>
                </w:placeholder>
                <w:showingPlcHdr/>
                <w:date w:fullDate="2018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748C" w:rsidRPr="00F612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845" w:type="dxa"/>
          </w:tcPr>
          <w:p w:rsidR="00BE1C28" w:rsidRPr="004B39EC" w:rsidRDefault="00BE1C28" w:rsidP="000C748C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APPROVAL DATE:</w:t>
            </w: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6412895"/>
                <w:placeholder>
                  <w:docPart w:val="DefaultPlaceholder_1081868576"/>
                </w:placeholder>
                <w:showingPlcHdr/>
                <w:date w:fullDate="2018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748C" w:rsidRPr="00F612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246CC9" w:rsidRPr="004B39EC" w:rsidRDefault="00246CC9" w:rsidP="0044421B">
      <w:pPr>
        <w:rPr>
          <w:rFonts w:ascii="Arial" w:hAnsi="Arial" w:cs="Arial"/>
        </w:rPr>
      </w:pPr>
    </w:p>
    <w:sectPr w:rsidR="00246CC9" w:rsidRPr="004B39EC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90" w:rsidRDefault="004C4090" w:rsidP="00401E3E">
      <w:r>
        <w:separator/>
      </w:r>
    </w:p>
  </w:endnote>
  <w:endnote w:type="continuationSeparator" w:id="0">
    <w:p w:rsidR="004C4090" w:rsidRDefault="004C4090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7D" w:rsidRPr="00246CC9" w:rsidRDefault="00DA3B7D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ab/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00246CC9">
      <w:rPr>
        <w:rFonts w:ascii="Arial" w:hAnsi="Arial" w:cs="Arial"/>
        <w:sz w:val="16"/>
      </w:rPr>
      <w:fldChar w:fldCharType="separate"/>
    </w:r>
    <w:r w:rsidR="005C37FC">
      <w:rPr>
        <w:rFonts w:ascii="Arial" w:hAnsi="Arial" w:cs="Arial"/>
        <w:noProof/>
        <w:sz w:val="16"/>
      </w:rPr>
      <w:t>1</w:t>
    </w:r>
    <w:r w:rsidRPr="00246CC9">
      <w:rPr>
        <w:rFonts w:ascii="Arial" w:hAnsi="Arial" w:cs="Arial"/>
        <w:sz w:val="16"/>
      </w:rPr>
      <w:fldChar w:fldCharType="end"/>
    </w:r>
    <w:r w:rsidRPr="00246CC9">
      <w:rPr>
        <w:rFonts w:ascii="Arial" w:hAnsi="Arial" w:cs="Arial"/>
        <w:sz w:val="16"/>
      </w:rPr>
      <w:t xml:space="preserve"> of </w:t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00246CC9">
      <w:rPr>
        <w:rFonts w:ascii="Arial" w:hAnsi="Arial" w:cs="Arial"/>
        <w:sz w:val="16"/>
      </w:rPr>
      <w:fldChar w:fldCharType="separate"/>
    </w:r>
    <w:r w:rsidR="005C37FC">
      <w:rPr>
        <w:rFonts w:ascii="Arial" w:hAnsi="Arial" w:cs="Arial"/>
        <w:noProof/>
        <w:sz w:val="16"/>
      </w:rPr>
      <w:t>3</w:t>
    </w:r>
    <w:r w:rsidRPr="00246CC9">
      <w:rPr>
        <w:rFonts w:ascii="Arial" w:hAnsi="Arial" w:cs="Arial"/>
        <w:sz w:val="16"/>
      </w:rPr>
      <w:fldChar w:fldCharType="end"/>
    </w:r>
  </w:p>
  <w:p w:rsidR="00F271FA" w:rsidRDefault="00F27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90" w:rsidRDefault="004C4090" w:rsidP="00401E3E">
      <w:r>
        <w:separator/>
      </w:r>
    </w:p>
  </w:footnote>
  <w:footnote w:type="continuationSeparator" w:id="0">
    <w:p w:rsidR="004C4090" w:rsidRDefault="004C4090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7D" w:rsidRPr="00120DE3" w:rsidRDefault="00DA3B7D" w:rsidP="0044421B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6ACEE6F2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71FA" w:rsidRDefault="00F271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03932"/>
    <w:lvl w:ilvl="0">
      <w:numFmt w:val="bullet"/>
      <w:lvlText w:val="*"/>
      <w:lvlJc w:val="left"/>
    </w:lvl>
  </w:abstractNum>
  <w:abstractNum w:abstractNumId="1" w15:restartNumberingAfterBreak="0">
    <w:nsid w:val="06202617"/>
    <w:multiLevelType w:val="hybridMultilevel"/>
    <w:tmpl w:val="FB081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7EA"/>
    <w:multiLevelType w:val="hybridMultilevel"/>
    <w:tmpl w:val="CFE4F71E"/>
    <w:lvl w:ilvl="0" w:tplc="EEDC3596">
      <w:start w:val="4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8068B2C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CE80600">
      <w:start w:val="1"/>
      <w:numFmt w:val="decimal"/>
      <w:lvlText w:val="%3)"/>
      <w:lvlJc w:val="left"/>
      <w:pPr>
        <w:ind w:left="226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6E86A56C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4" w:tplc="992840C2">
      <w:start w:val="1"/>
      <w:numFmt w:val="bullet"/>
      <w:lvlText w:val="•"/>
      <w:lvlJc w:val="left"/>
      <w:pPr>
        <w:ind w:left="4075" w:hanging="720"/>
      </w:pPr>
      <w:rPr>
        <w:rFonts w:hint="default"/>
      </w:rPr>
    </w:lvl>
    <w:lvl w:ilvl="5" w:tplc="CB52BC4E">
      <w:start w:val="1"/>
      <w:numFmt w:val="bullet"/>
      <w:lvlText w:val="•"/>
      <w:lvlJc w:val="left"/>
      <w:pPr>
        <w:ind w:left="4982" w:hanging="720"/>
      </w:pPr>
      <w:rPr>
        <w:rFonts w:hint="default"/>
      </w:rPr>
    </w:lvl>
    <w:lvl w:ilvl="6" w:tplc="6B1808C4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7" w:tplc="A57E7410">
      <w:start w:val="1"/>
      <w:numFmt w:val="bullet"/>
      <w:lvlText w:val="•"/>
      <w:lvlJc w:val="left"/>
      <w:pPr>
        <w:ind w:left="6797" w:hanging="720"/>
      </w:pPr>
      <w:rPr>
        <w:rFonts w:hint="default"/>
      </w:rPr>
    </w:lvl>
    <w:lvl w:ilvl="8" w:tplc="24286B50">
      <w:start w:val="1"/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3" w15:restartNumberingAfterBreak="0">
    <w:nsid w:val="06F10199"/>
    <w:multiLevelType w:val="hybridMultilevel"/>
    <w:tmpl w:val="EDEC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2EC2"/>
    <w:multiLevelType w:val="hybridMultilevel"/>
    <w:tmpl w:val="069A9CBE"/>
    <w:lvl w:ilvl="0" w:tplc="B49A159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EA05DCC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24106A">
      <w:start w:val="1"/>
      <w:numFmt w:val="bullet"/>
      <w:lvlText w:val="•"/>
      <w:lvlJc w:val="left"/>
      <w:pPr>
        <w:ind w:left="2415" w:hanging="720"/>
      </w:pPr>
      <w:rPr>
        <w:rFonts w:hint="default"/>
      </w:rPr>
    </w:lvl>
    <w:lvl w:ilvl="3" w:tplc="2B663300">
      <w:start w:val="1"/>
      <w:numFmt w:val="bullet"/>
      <w:lvlText w:val="•"/>
      <w:lvlJc w:val="left"/>
      <w:pPr>
        <w:ind w:left="3291" w:hanging="720"/>
      </w:pPr>
      <w:rPr>
        <w:rFonts w:hint="default"/>
      </w:rPr>
    </w:lvl>
    <w:lvl w:ilvl="4" w:tplc="D8B6607A">
      <w:start w:val="1"/>
      <w:numFmt w:val="bullet"/>
      <w:lvlText w:val="•"/>
      <w:lvlJc w:val="left"/>
      <w:pPr>
        <w:ind w:left="4166" w:hanging="720"/>
      </w:pPr>
      <w:rPr>
        <w:rFonts w:hint="default"/>
      </w:rPr>
    </w:lvl>
    <w:lvl w:ilvl="5" w:tplc="ABE85CC2">
      <w:start w:val="1"/>
      <w:numFmt w:val="bullet"/>
      <w:lvlText w:val="•"/>
      <w:lvlJc w:val="left"/>
      <w:pPr>
        <w:ind w:left="5042" w:hanging="720"/>
      </w:pPr>
      <w:rPr>
        <w:rFonts w:hint="default"/>
      </w:rPr>
    </w:lvl>
    <w:lvl w:ilvl="6" w:tplc="E868675E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7" w:tplc="15C0E00E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  <w:lvl w:ilvl="8" w:tplc="F8F67D48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5" w15:restartNumberingAfterBreak="0">
    <w:nsid w:val="084D13E3"/>
    <w:multiLevelType w:val="singleLevel"/>
    <w:tmpl w:val="D258F17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0C832E48"/>
    <w:multiLevelType w:val="hybridMultilevel"/>
    <w:tmpl w:val="F38A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2C11"/>
    <w:multiLevelType w:val="hybridMultilevel"/>
    <w:tmpl w:val="94367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62B7B"/>
    <w:multiLevelType w:val="hybridMultilevel"/>
    <w:tmpl w:val="6DDAD15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7E42A98"/>
    <w:multiLevelType w:val="hybridMultilevel"/>
    <w:tmpl w:val="86CC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746F"/>
    <w:multiLevelType w:val="hybridMultilevel"/>
    <w:tmpl w:val="195A050E"/>
    <w:lvl w:ilvl="0" w:tplc="AA02B432">
      <w:start w:val="1"/>
      <w:numFmt w:val="upperLetter"/>
      <w:lvlText w:val="%1."/>
      <w:lvlJc w:val="left"/>
      <w:pPr>
        <w:ind w:left="41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 w15:restartNumberingAfterBreak="0">
    <w:nsid w:val="1ED32D4F"/>
    <w:multiLevelType w:val="singleLevel"/>
    <w:tmpl w:val="D258F17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2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B27E4"/>
    <w:multiLevelType w:val="singleLevel"/>
    <w:tmpl w:val="85101BD8"/>
    <w:lvl w:ilvl="0">
      <w:start w:val="1"/>
      <w:numFmt w:val="upperLetter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4" w15:restartNumberingAfterBreak="0">
    <w:nsid w:val="27371146"/>
    <w:multiLevelType w:val="hybridMultilevel"/>
    <w:tmpl w:val="AD0E6924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293504B2"/>
    <w:multiLevelType w:val="singleLevel"/>
    <w:tmpl w:val="85101BD8"/>
    <w:lvl w:ilvl="0">
      <w:start w:val="1"/>
      <w:numFmt w:val="upperLetter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6" w15:restartNumberingAfterBreak="0">
    <w:nsid w:val="2BA631E9"/>
    <w:multiLevelType w:val="singleLevel"/>
    <w:tmpl w:val="85101BD8"/>
    <w:lvl w:ilvl="0">
      <w:start w:val="1"/>
      <w:numFmt w:val="upperLetter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7" w15:restartNumberingAfterBreak="0">
    <w:nsid w:val="2C920B33"/>
    <w:multiLevelType w:val="hybridMultilevel"/>
    <w:tmpl w:val="92348374"/>
    <w:lvl w:ilvl="0" w:tplc="64AEED02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63CA268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04523C64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40D2022C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9B3A6CCC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565462E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62BC5288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980C6D4A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230E55DA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8" w15:restartNumberingAfterBreak="0">
    <w:nsid w:val="2DF961A7"/>
    <w:multiLevelType w:val="hybridMultilevel"/>
    <w:tmpl w:val="13E20FB2"/>
    <w:lvl w:ilvl="0" w:tplc="99F0FF28">
      <w:start w:val="3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4489E9E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732AA92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33D031DE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 w:tplc="8FD0C142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9438A5FE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88DCC52C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 w:tplc="D5AE356A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 w:tplc="9320B356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19" w15:restartNumberingAfterBreak="0">
    <w:nsid w:val="3636680F"/>
    <w:multiLevelType w:val="singleLevel"/>
    <w:tmpl w:val="D258F17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0" w15:restartNumberingAfterBreak="0">
    <w:nsid w:val="373E7EEF"/>
    <w:multiLevelType w:val="singleLevel"/>
    <w:tmpl w:val="D258F17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1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4FC"/>
    <w:multiLevelType w:val="hybridMultilevel"/>
    <w:tmpl w:val="05A6F1F8"/>
    <w:lvl w:ilvl="0" w:tplc="002E58C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DC331B5"/>
    <w:multiLevelType w:val="hybridMultilevel"/>
    <w:tmpl w:val="711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0DE9"/>
    <w:multiLevelType w:val="hybridMultilevel"/>
    <w:tmpl w:val="A938557C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228453A"/>
    <w:multiLevelType w:val="hybridMultilevel"/>
    <w:tmpl w:val="1546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31C0B"/>
    <w:multiLevelType w:val="hybridMultilevel"/>
    <w:tmpl w:val="1EA057AC"/>
    <w:lvl w:ilvl="0" w:tplc="4B0A439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8F6585B"/>
    <w:multiLevelType w:val="hybridMultilevel"/>
    <w:tmpl w:val="CF98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D63F5"/>
    <w:multiLevelType w:val="hybridMultilevel"/>
    <w:tmpl w:val="17E6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A4586"/>
    <w:multiLevelType w:val="hybridMultilevel"/>
    <w:tmpl w:val="C22CC7F2"/>
    <w:lvl w:ilvl="0" w:tplc="2A14904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F7A81C6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15CE3DA">
      <w:start w:val="1"/>
      <w:numFmt w:val="bullet"/>
      <w:lvlText w:val="•"/>
      <w:lvlJc w:val="left"/>
      <w:pPr>
        <w:ind w:left="2415" w:hanging="720"/>
      </w:pPr>
      <w:rPr>
        <w:rFonts w:hint="default"/>
      </w:rPr>
    </w:lvl>
    <w:lvl w:ilvl="3" w:tplc="AE6A8680">
      <w:start w:val="1"/>
      <w:numFmt w:val="bullet"/>
      <w:lvlText w:val="•"/>
      <w:lvlJc w:val="left"/>
      <w:pPr>
        <w:ind w:left="3291" w:hanging="720"/>
      </w:pPr>
      <w:rPr>
        <w:rFonts w:hint="default"/>
      </w:rPr>
    </w:lvl>
    <w:lvl w:ilvl="4" w:tplc="4906F70C">
      <w:start w:val="1"/>
      <w:numFmt w:val="bullet"/>
      <w:lvlText w:val="•"/>
      <w:lvlJc w:val="left"/>
      <w:pPr>
        <w:ind w:left="4166" w:hanging="720"/>
      </w:pPr>
      <w:rPr>
        <w:rFonts w:hint="default"/>
      </w:rPr>
    </w:lvl>
    <w:lvl w:ilvl="5" w:tplc="3276227A">
      <w:start w:val="1"/>
      <w:numFmt w:val="bullet"/>
      <w:lvlText w:val="•"/>
      <w:lvlJc w:val="left"/>
      <w:pPr>
        <w:ind w:left="5042" w:hanging="720"/>
      </w:pPr>
      <w:rPr>
        <w:rFonts w:hint="default"/>
      </w:rPr>
    </w:lvl>
    <w:lvl w:ilvl="6" w:tplc="02167E78">
      <w:start w:val="1"/>
      <w:numFmt w:val="bullet"/>
      <w:lvlText w:val="•"/>
      <w:lvlJc w:val="left"/>
      <w:pPr>
        <w:ind w:left="5917" w:hanging="720"/>
      </w:pPr>
      <w:rPr>
        <w:rFonts w:hint="default"/>
      </w:rPr>
    </w:lvl>
    <w:lvl w:ilvl="7" w:tplc="454E2274">
      <w:start w:val="1"/>
      <w:numFmt w:val="bullet"/>
      <w:lvlText w:val="•"/>
      <w:lvlJc w:val="left"/>
      <w:pPr>
        <w:ind w:left="6793" w:hanging="720"/>
      </w:pPr>
      <w:rPr>
        <w:rFonts w:hint="default"/>
      </w:rPr>
    </w:lvl>
    <w:lvl w:ilvl="8" w:tplc="41107CC4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30" w15:restartNumberingAfterBreak="0">
    <w:nsid w:val="514A596B"/>
    <w:multiLevelType w:val="hybridMultilevel"/>
    <w:tmpl w:val="4984BF8E"/>
    <w:lvl w:ilvl="0" w:tplc="54546F96">
      <w:start w:val="1"/>
      <w:numFmt w:val="decimal"/>
      <w:lvlText w:val="%1."/>
      <w:lvlJc w:val="left"/>
      <w:pPr>
        <w:ind w:left="104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574D258">
      <w:start w:val="1"/>
      <w:numFmt w:val="lowerLetter"/>
      <w:lvlText w:val="%2."/>
      <w:lvlJc w:val="left"/>
      <w:pPr>
        <w:ind w:left="176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D360C22">
      <w:start w:val="1"/>
      <w:numFmt w:val="decimal"/>
      <w:lvlText w:val="%3)"/>
      <w:lvlJc w:val="left"/>
      <w:pPr>
        <w:ind w:left="837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E165506">
      <w:start w:val="1"/>
      <w:numFmt w:val="lowerLetter"/>
      <w:lvlText w:val="%4)"/>
      <w:lvlJc w:val="left"/>
      <w:pPr>
        <w:ind w:left="260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469C3E40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5" w:tplc="A9DE3784">
      <w:start w:val="1"/>
      <w:numFmt w:val="bullet"/>
      <w:lvlText w:val="•"/>
      <w:lvlJc w:val="left"/>
      <w:pPr>
        <w:ind w:left="3690" w:hanging="721"/>
      </w:pPr>
      <w:rPr>
        <w:rFonts w:hint="default"/>
      </w:rPr>
    </w:lvl>
    <w:lvl w:ilvl="6" w:tplc="3002396C">
      <w:start w:val="1"/>
      <w:numFmt w:val="bullet"/>
      <w:lvlText w:val="•"/>
      <w:lvlJc w:val="left"/>
      <w:pPr>
        <w:ind w:left="4780" w:hanging="721"/>
      </w:pPr>
      <w:rPr>
        <w:rFonts w:hint="default"/>
      </w:rPr>
    </w:lvl>
    <w:lvl w:ilvl="7" w:tplc="5D5C1FB4">
      <w:start w:val="1"/>
      <w:numFmt w:val="bullet"/>
      <w:lvlText w:val="•"/>
      <w:lvlJc w:val="left"/>
      <w:pPr>
        <w:ind w:left="5870" w:hanging="721"/>
      </w:pPr>
      <w:rPr>
        <w:rFonts w:hint="default"/>
      </w:rPr>
    </w:lvl>
    <w:lvl w:ilvl="8" w:tplc="9F96C756">
      <w:start w:val="1"/>
      <w:numFmt w:val="bullet"/>
      <w:lvlText w:val="•"/>
      <w:lvlJc w:val="left"/>
      <w:pPr>
        <w:ind w:left="6960" w:hanging="721"/>
      </w:pPr>
      <w:rPr>
        <w:rFonts w:hint="default"/>
      </w:rPr>
    </w:lvl>
  </w:abstractNum>
  <w:abstractNum w:abstractNumId="31" w15:restartNumberingAfterBreak="0">
    <w:nsid w:val="51AF6001"/>
    <w:multiLevelType w:val="hybridMultilevel"/>
    <w:tmpl w:val="7E2CC492"/>
    <w:lvl w:ilvl="0" w:tplc="AA02B432">
      <w:start w:val="1"/>
      <w:numFmt w:val="upperLetter"/>
      <w:lvlText w:val="%1."/>
      <w:lvlJc w:val="left"/>
      <w:pPr>
        <w:ind w:left="820" w:hanging="291"/>
      </w:pPr>
      <w:rPr>
        <w:rFonts w:ascii="Arial" w:eastAsia="Arial" w:hAnsi="Arial" w:hint="default"/>
        <w:w w:val="100"/>
        <w:sz w:val="24"/>
        <w:szCs w:val="24"/>
      </w:rPr>
    </w:lvl>
    <w:lvl w:ilvl="1" w:tplc="8924C0DE">
      <w:start w:val="1"/>
      <w:numFmt w:val="bullet"/>
      <w:lvlText w:val="•"/>
      <w:lvlJc w:val="left"/>
      <w:pPr>
        <w:ind w:left="1736" w:hanging="291"/>
      </w:pPr>
      <w:rPr>
        <w:rFonts w:hint="default"/>
      </w:rPr>
    </w:lvl>
    <w:lvl w:ilvl="2" w:tplc="91A01608">
      <w:start w:val="1"/>
      <w:numFmt w:val="bullet"/>
      <w:lvlText w:val="•"/>
      <w:lvlJc w:val="left"/>
      <w:pPr>
        <w:ind w:left="2652" w:hanging="291"/>
      </w:pPr>
      <w:rPr>
        <w:rFonts w:hint="default"/>
      </w:rPr>
    </w:lvl>
    <w:lvl w:ilvl="3" w:tplc="AB70730E">
      <w:start w:val="1"/>
      <w:numFmt w:val="bullet"/>
      <w:lvlText w:val="•"/>
      <w:lvlJc w:val="left"/>
      <w:pPr>
        <w:ind w:left="3568" w:hanging="291"/>
      </w:pPr>
      <w:rPr>
        <w:rFonts w:hint="default"/>
      </w:rPr>
    </w:lvl>
    <w:lvl w:ilvl="4" w:tplc="68CA7C64">
      <w:start w:val="1"/>
      <w:numFmt w:val="bullet"/>
      <w:lvlText w:val="•"/>
      <w:lvlJc w:val="left"/>
      <w:pPr>
        <w:ind w:left="4484" w:hanging="291"/>
      </w:pPr>
      <w:rPr>
        <w:rFonts w:hint="default"/>
      </w:rPr>
    </w:lvl>
    <w:lvl w:ilvl="5" w:tplc="657E08E0">
      <w:start w:val="1"/>
      <w:numFmt w:val="bullet"/>
      <w:lvlText w:val="•"/>
      <w:lvlJc w:val="left"/>
      <w:pPr>
        <w:ind w:left="5400" w:hanging="291"/>
      </w:pPr>
      <w:rPr>
        <w:rFonts w:hint="default"/>
      </w:rPr>
    </w:lvl>
    <w:lvl w:ilvl="6" w:tplc="B4F6CE98">
      <w:start w:val="1"/>
      <w:numFmt w:val="bullet"/>
      <w:lvlText w:val="•"/>
      <w:lvlJc w:val="left"/>
      <w:pPr>
        <w:ind w:left="6316" w:hanging="291"/>
      </w:pPr>
      <w:rPr>
        <w:rFonts w:hint="default"/>
      </w:rPr>
    </w:lvl>
    <w:lvl w:ilvl="7" w:tplc="504C09BC">
      <w:start w:val="1"/>
      <w:numFmt w:val="bullet"/>
      <w:lvlText w:val="•"/>
      <w:lvlJc w:val="left"/>
      <w:pPr>
        <w:ind w:left="7232" w:hanging="291"/>
      </w:pPr>
      <w:rPr>
        <w:rFonts w:hint="default"/>
      </w:rPr>
    </w:lvl>
    <w:lvl w:ilvl="8" w:tplc="AD96C44A">
      <w:start w:val="1"/>
      <w:numFmt w:val="bullet"/>
      <w:lvlText w:val="•"/>
      <w:lvlJc w:val="left"/>
      <w:pPr>
        <w:ind w:left="8148" w:hanging="291"/>
      </w:pPr>
      <w:rPr>
        <w:rFonts w:hint="default"/>
      </w:rPr>
    </w:lvl>
  </w:abstractNum>
  <w:abstractNum w:abstractNumId="32" w15:restartNumberingAfterBreak="0">
    <w:nsid w:val="55CB1BD9"/>
    <w:multiLevelType w:val="hybridMultilevel"/>
    <w:tmpl w:val="F7A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619B5"/>
    <w:multiLevelType w:val="hybridMultilevel"/>
    <w:tmpl w:val="C6320A5C"/>
    <w:lvl w:ilvl="0" w:tplc="E1389BFA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w w:val="100"/>
        <w:sz w:val="22"/>
        <w:szCs w:val="22"/>
      </w:rPr>
    </w:lvl>
    <w:lvl w:ilvl="1" w:tplc="4B0A4392">
      <w:start w:val="1"/>
      <w:numFmt w:val="bullet"/>
      <w:lvlText w:val="•"/>
      <w:lvlJc w:val="left"/>
      <w:pPr>
        <w:ind w:left="1110" w:hanging="721"/>
      </w:pPr>
      <w:rPr>
        <w:rFonts w:hint="default"/>
      </w:rPr>
    </w:lvl>
    <w:lvl w:ilvl="2" w:tplc="C906A1BE">
      <w:start w:val="1"/>
      <w:numFmt w:val="bullet"/>
      <w:lvlText w:val="•"/>
      <w:lvlJc w:val="left"/>
      <w:pPr>
        <w:ind w:left="2100" w:hanging="721"/>
      </w:pPr>
      <w:rPr>
        <w:rFonts w:hint="default"/>
      </w:rPr>
    </w:lvl>
    <w:lvl w:ilvl="3" w:tplc="9CDAF988">
      <w:start w:val="1"/>
      <w:numFmt w:val="bullet"/>
      <w:lvlText w:val="•"/>
      <w:lvlJc w:val="left"/>
      <w:pPr>
        <w:ind w:left="3090" w:hanging="721"/>
      </w:pPr>
      <w:rPr>
        <w:rFonts w:hint="default"/>
      </w:rPr>
    </w:lvl>
    <w:lvl w:ilvl="4" w:tplc="95F2F79A">
      <w:start w:val="1"/>
      <w:numFmt w:val="bullet"/>
      <w:lvlText w:val="•"/>
      <w:lvlJc w:val="left"/>
      <w:pPr>
        <w:ind w:left="4080" w:hanging="721"/>
      </w:pPr>
      <w:rPr>
        <w:rFonts w:hint="default"/>
      </w:rPr>
    </w:lvl>
    <w:lvl w:ilvl="5" w:tplc="7D8AB73C">
      <w:start w:val="1"/>
      <w:numFmt w:val="bullet"/>
      <w:lvlText w:val="•"/>
      <w:lvlJc w:val="left"/>
      <w:pPr>
        <w:ind w:left="5070" w:hanging="721"/>
      </w:pPr>
      <w:rPr>
        <w:rFonts w:hint="default"/>
      </w:rPr>
    </w:lvl>
    <w:lvl w:ilvl="6" w:tplc="019049D8">
      <w:start w:val="1"/>
      <w:numFmt w:val="bullet"/>
      <w:lvlText w:val="•"/>
      <w:lvlJc w:val="left"/>
      <w:pPr>
        <w:ind w:left="6060" w:hanging="721"/>
      </w:pPr>
      <w:rPr>
        <w:rFonts w:hint="default"/>
      </w:rPr>
    </w:lvl>
    <w:lvl w:ilvl="7" w:tplc="4FCCAF80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2F10029E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</w:abstractNum>
  <w:abstractNum w:abstractNumId="34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02422F"/>
    <w:multiLevelType w:val="singleLevel"/>
    <w:tmpl w:val="85101BD8"/>
    <w:lvl w:ilvl="0">
      <w:start w:val="1"/>
      <w:numFmt w:val="upperLetter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6" w15:restartNumberingAfterBreak="0">
    <w:nsid w:val="63341740"/>
    <w:multiLevelType w:val="hybridMultilevel"/>
    <w:tmpl w:val="3ED49D2E"/>
    <w:lvl w:ilvl="0" w:tplc="56EC19CA">
      <w:start w:val="1"/>
      <w:numFmt w:val="decimal"/>
      <w:lvlText w:val="%1."/>
      <w:lvlJc w:val="left"/>
      <w:pPr>
        <w:ind w:left="82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C49AC8">
      <w:start w:val="1"/>
      <w:numFmt w:val="lowerLetter"/>
      <w:lvlText w:val="%2."/>
      <w:lvlJc w:val="left"/>
      <w:pPr>
        <w:ind w:left="154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C64EC0E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8F16A76E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D9E24692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CAF82F4E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1CE6FB5E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F30CD926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40C059E0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7" w15:restartNumberingAfterBreak="0">
    <w:nsid w:val="68431E94"/>
    <w:multiLevelType w:val="hybridMultilevel"/>
    <w:tmpl w:val="737A9CC0"/>
    <w:lvl w:ilvl="0" w:tplc="FF5406B2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1" w:tplc="2D20A1E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49407758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037E76AC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337A32C8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705ABF1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402236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66CAF146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D3A4B9F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8" w15:restartNumberingAfterBreak="0">
    <w:nsid w:val="6BCC4474"/>
    <w:multiLevelType w:val="singleLevel"/>
    <w:tmpl w:val="8F06424E"/>
    <w:lvl w:ilvl="0">
      <w:start w:val="1"/>
      <w:numFmt w:val="lowerRoman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9" w15:restartNumberingAfterBreak="0">
    <w:nsid w:val="6C34517F"/>
    <w:multiLevelType w:val="hybridMultilevel"/>
    <w:tmpl w:val="6C2AE4EE"/>
    <w:lvl w:ilvl="0" w:tplc="41E0A8F4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F2DFE8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7FCDC60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DF24FD0C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 w:tplc="7CA2B5EC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D3EA3514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A482AF74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 w:tplc="6E2612A4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 w:tplc="5D7854C6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40" w15:restartNumberingAfterBreak="0">
    <w:nsid w:val="6E70204B"/>
    <w:multiLevelType w:val="hybridMultilevel"/>
    <w:tmpl w:val="30908B46"/>
    <w:lvl w:ilvl="0" w:tplc="1BBA08F0">
      <w:start w:val="1"/>
      <w:numFmt w:val="decimal"/>
      <w:lvlText w:val="%1."/>
      <w:lvlJc w:val="left"/>
      <w:pPr>
        <w:ind w:left="1080" w:hanging="360"/>
      </w:pPr>
      <w:rPr>
        <w:rFonts w:ascii="Helv" w:hAnsi="Helv" w:cs="Helv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F52DE"/>
    <w:multiLevelType w:val="hybridMultilevel"/>
    <w:tmpl w:val="96F48480"/>
    <w:lvl w:ilvl="0" w:tplc="A516CCCE">
      <w:start w:val="1"/>
      <w:numFmt w:val="upperRoman"/>
      <w:lvlText w:val="%1."/>
      <w:lvlJc w:val="left"/>
      <w:pPr>
        <w:ind w:left="2740" w:hanging="495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988A935E">
      <w:start w:val="1"/>
      <w:numFmt w:val="bullet"/>
      <w:lvlText w:val="•"/>
      <w:lvlJc w:val="left"/>
      <w:pPr>
        <w:ind w:left="3516" w:hanging="495"/>
      </w:pPr>
      <w:rPr>
        <w:rFonts w:hint="default"/>
      </w:rPr>
    </w:lvl>
    <w:lvl w:ilvl="2" w:tplc="2702F542">
      <w:start w:val="1"/>
      <w:numFmt w:val="bullet"/>
      <w:lvlText w:val="•"/>
      <w:lvlJc w:val="left"/>
      <w:pPr>
        <w:ind w:left="4292" w:hanging="495"/>
      </w:pPr>
      <w:rPr>
        <w:rFonts w:hint="default"/>
      </w:rPr>
    </w:lvl>
    <w:lvl w:ilvl="3" w:tplc="9C365E0A">
      <w:start w:val="1"/>
      <w:numFmt w:val="bullet"/>
      <w:lvlText w:val="•"/>
      <w:lvlJc w:val="left"/>
      <w:pPr>
        <w:ind w:left="5068" w:hanging="495"/>
      </w:pPr>
      <w:rPr>
        <w:rFonts w:hint="default"/>
      </w:rPr>
    </w:lvl>
    <w:lvl w:ilvl="4" w:tplc="1F3A5756">
      <w:start w:val="1"/>
      <w:numFmt w:val="bullet"/>
      <w:lvlText w:val="•"/>
      <w:lvlJc w:val="left"/>
      <w:pPr>
        <w:ind w:left="5844" w:hanging="495"/>
      </w:pPr>
      <w:rPr>
        <w:rFonts w:hint="default"/>
      </w:rPr>
    </w:lvl>
    <w:lvl w:ilvl="5" w:tplc="CF0E0AF8">
      <w:start w:val="1"/>
      <w:numFmt w:val="bullet"/>
      <w:lvlText w:val="•"/>
      <w:lvlJc w:val="left"/>
      <w:pPr>
        <w:ind w:left="6620" w:hanging="495"/>
      </w:pPr>
      <w:rPr>
        <w:rFonts w:hint="default"/>
      </w:rPr>
    </w:lvl>
    <w:lvl w:ilvl="6" w:tplc="3A6A80B2">
      <w:start w:val="1"/>
      <w:numFmt w:val="bullet"/>
      <w:lvlText w:val="•"/>
      <w:lvlJc w:val="left"/>
      <w:pPr>
        <w:ind w:left="7396" w:hanging="495"/>
      </w:pPr>
      <w:rPr>
        <w:rFonts w:hint="default"/>
      </w:rPr>
    </w:lvl>
    <w:lvl w:ilvl="7" w:tplc="8C1C9F96">
      <w:start w:val="1"/>
      <w:numFmt w:val="bullet"/>
      <w:lvlText w:val="•"/>
      <w:lvlJc w:val="left"/>
      <w:pPr>
        <w:ind w:left="8172" w:hanging="495"/>
      </w:pPr>
      <w:rPr>
        <w:rFonts w:hint="default"/>
      </w:rPr>
    </w:lvl>
    <w:lvl w:ilvl="8" w:tplc="E416D496">
      <w:start w:val="1"/>
      <w:numFmt w:val="bullet"/>
      <w:lvlText w:val="•"/>
      <w:lvlJc w:val="left"/>
      <w:pPr>
        <w:ind w:left="8948" w:hanging="495"/>
      </w:pPr>
      <w:rPr>
        <w:rFonts w:hint="default"/>
      </w:rPr>
    </w:lvl>
  </w:abstractNum>
  <w:abstractNum w:abstractNumId="42" w15:restartNumberingAfterBreak="0">
    <w:nsid w:val="77C35070"/>
    <w:multiLevelType w:val="hybridMultilevel"/>
    <w:tmpl w:val="4744889C"/>
    <w:lvl w:ilvl="0" w:tplc="5D40C2B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1AC4A24">
      <w:start w:val="1"/>
      <w:numFmt w:val="bullet"/>
      <w:lvlText w:val="•"/>
      <w:lvlJc w:val="left"/>
      <w:pPr>
        <w:ind w:left="1680" w:hanging="720"/>
      </w:pPr>
      <w:rPr>
        <w:rFonts w:hint="default"/>
      </w:rPr>
    </w:lvl>
    <w:lvl w:ilvl="2" w:tplc="C23C1CE2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56BA7964">
      <w:start w:val="1"/>
      <w:numFmt w:val="bullet"/>
      <w:lvlText w:val="•"/>
      <w:lvlJc w:val="left"/>
      <w:pPr>
        <w:ind w:left="3400" w:hanging="720"/>
      </w:pPr>
      <w:rPr>
        <w:rFonts w:hint="default"/>
      </w:rPr>
    </w:lvl>
    <w:lvl w:ilvl="4" w:tplc="5EA680B2">
      <w:start w:val="1"/>
      <w:numFmt w:val="bullet"/>
      <w:lvlText w:val="•"/>
      <w:lvlJc w:val="left"/>
      <w:pPr>
        <w:ind w:left="4260" w:hanging="720"/>
      </w:pPr>
      <w:rPr>
        <w:rFonts w:hint="default"/>
      </w:rPr>
    </w:lvl>
    <w:lvl w:ilvl="5" w:tplc="D5328776">
      <w:start w:val="1"/>
      <w:numFmt w:val="bullet"/>
      <w:lvlText w:val="•"/>
      <w:lvlJc w:val="left"/>
      <w:pPr>
        <w:ind w:left="5120" w:hanging="720"/>
      </w:pPr>
      <w:rPr>
        <w:rFonts w:hint="default"/>
      </w:rPr>
    </w:lvl>
    <w:lvl w:ilvl="6" w:tplc="344A4A1A">
      <w:start w:val="1"/>
      <w:numFmt w:val="bullet"/>
      <w:lvlText w:val="•"/>
      <w:lvlJc w:val="left"/>
      <w:pPr>
        <w:ind w:left="5980" w:hanging="720"/>
      </w:pPr>
      <w:rPr>
        <w:rFonts w:hint="default"/>
      </w:rPr>
    </w:lvl>
    <w:lvl w:ilvl="7" w:tplc="2182DCA6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8D986A86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</w:abstractNum>
  <w:abstractNum w:abstractNumId="43" w15:restartNumberingAfterBreak="0">
    <w:nsid w:val="77F65A83"/>
    <w:multiLevelType w:val="singleLevel"/>
    <w:tmpl w:val="8F06424E"/>
    <w:lvl w:ilvl="0">
      <w:start w:val="1"/>
      <w:numFmt w:val="lowerRoman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4" w15:restartNumberingAfterBreak="0">
    <w:nsid w:val="7AF54EDE"/>
    <w:multiLevelType w:val="hybridMultilevel"/>
    <w:tmpl w:val="BDDE9E6E"/>
    <w:lvl w:ilvl="0" w:tplc="8ADECAD6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4CAAE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FF7E18D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488C9636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020A800A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8E000D5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0A84A3A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669277FE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E37493AA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45" w15:restartNumberingAfterBreak="0">
    <w:nsid w:val="7F5A7FDB"/>
    <w:multiLevelType w:val="singleLevel"/>
    <w:tmpl w:val="85101BD8"/>
    <w:lvl w:ilvl="0">
      <w:start w:val="1"/>
      <w:numFmt w:val="upperLetter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33"/>
  </w:num>
  <w:num w:numId="2">
    <w:abstractNumId w:val="31"/>
  </w:num>
  <w:num w:numId="3">
    <w:abstractNumId w:val="41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2"/>
  </w:num>
  <w:num w:numId="9">
    <w:abstractNumId w:val="25"/>
  </w:num>
  <w:num w:numId="10">
    <w:abstractNumId w:val="24"/>
  </w:num>
  <w:num w:numId="11">
    <w:abstractNumId w:val="28"/>
  </w:num>
  <w:num w:numId="12">
    <w:abstractNumId w:val="27"/>
  </w:num>
  <w:num w:numId="13">
    <w:abstractNumId w:val="9"/>
  </w:num>
  <w:num w:numId="14">
    <w:abstractNumId w:val="36"/>
  </w:num>
  <w:num w:numId="15">
    <w:abstractNumId w:val="17"/>
  </w:num>
  <w:num w:numId="16">
    <w:abstractNumId w:val="2"/>
  </w:num>
  <w:num w:numId="17">
    <w:abstractNumId w:val="18"/>
  </w:num>
  <w:num w:numId="18">
    <w:abstractNumId w:val="29"/>
  </w:num>
  <w:num w:numId="19">
    <w:abstractNumId w:val="42"/>
  </w:num>
  <w:num w:numId="20">
    <w:abstractNumId w:val="4"/>
  </w:num>
  <w:num w:numId="21">
    <w:abstractNumId w:val="39"/>
  </w:num>
  <w:num w:numId="22">
    <w:abstractNumId w:val="30"/>
  </w:num>
  <w:num w:numId="23">
    <w:abstractNumId w:val="14"/>
  </w:num>
  <w:num w:numId="24">
    <w:abstractNumId w:val="6"/>
  </w:num>
  <w:num w:numId="25">
    <w:abstractNumId w:val="40"/>
  </w:num>
  <w:num w:numId="26">
    <w:abstractNumId w:val="23"/>
  </w:num>
  <w:num w:numId="27">
    <w:abstractNumId w:val="37"/>
  </w:num>
  <w:num w:numId="28">
    <w:abstractNumId w:val="44"/>
  </w:num>
  <w:num w:numId="29">
    <w:abstractNumId w:val="11"/>
  </w:num>
  <w:num w:numId="30">
    <w:abstractNumId w:val="35"/>
  </w:num>
  <w:num w:numId="31">
    <w:abstractNumId w:val="19"/>
  </w:num>
  <w:num w:numId="32">
    <w:abstractNumId w:val="16"/>
  </w:num>
  <w:num w:numId="33">
    <w:abstractNumId w:val="38"/>
  </w:num>
  <w:num w:numId="34">
    <w:abstractNumId w:val="5"/>
  </w:num>
  <w:num w:numId="35">
    <w:abstractNumId w:val="15"/>
  </w:num>
  <w:num w:numId="36">
    <w:abstractNumId w:val="20"/>
  </w:num>
  <w:num w:numId="37">
    <w:abstractNumId w:val="13"/>
  </w:num>
  <w:num w:numId="38">
    <w:abstractNumId w:val="43"/>
  </w:num>
  <w:num w:numId="39">
    <w:abstractNumId w:val="45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1">
    <w:abstractNumId w:val="7"/>
  </w:num>
  <w:num w:numId="42">
    <w:abstractNumId w:val="26"/>
  </w:num>
  <w:num w:numId="43">
    <w:abstractNumId w:val="12"/>
  </w:num>
  <w:num w:numId="44">
    <w:abstractNumId w:val="34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66FE7"/>
    <w:rsid w:val="000716B5"/>
    <w:rsid w:val="0007395E"/>
    <w:rsid w:val="000C25CF"/>
    <w:rsid w:val="000C748C"/>
    <w:rsid w:val="00120DE3"/>
    <w:rsid w:val="00132810"/>
    <w:rsid w:val="00145596"/>
    <w:rsid w:val="00150BDD"/>
    <w:rsid w:val="001644D7"/>
    <w:rsid w:val="0018574A"/>
    <w:rsid w:val="0019168D"/>
    <w:rsid w:val="001921CD"/>
    <w:rsid w:val="001D355C"/>
    <w:rsid w:val="001E15E4"/>
    <w:rsid w:val="00233309"/>
    <w:rsid w:val="00246CC9"/>
    <w:rsid w:val="00250279"/>
    <w:rsid w:val="002520A4"/>
    <w:rsid w:val="00267C23"/>
    <w:rsid w:val="00300EAC"/>
    <w:rsid w:val="00305FD1"/>
    <w:rsid w:val="00325B29"/>
    <w:rsid w:val="00376672"/>
    <w:rsid w:val="00382155"/>
    <w:rsid w:val="003A4628"/>
    <w:rsid w:val="003B37E8"/>
    <w:rsid w:val="003C0F39"/>
    <w:rsid w:val="003D2266"/>
    <w:rsid w:val="003D7EBC"/>
    <w:rsid w:val="00401E3E"/>
    <w:rsid w:val="004172C9"/>
    <w:rsid w:val="00427F74"/>
    <w:rsid w:val="0044421B"/>
    <w:rsid w:val="004558FB"/>
    <w:rsid w:val="00473140"/>
    <w:rsid w:val="00477DC1"/>
    <w:rsid w:val="00480DFF"/>
    <w:rsid w:val="004859B2"/>
    <w:rsid w:val="00495EC8"/>
    <w:rsid w:val="004B0EFA"/>
    <w:rsid w:val="004B39EC"/>
    <w:rsid w:val="004C4090"/>
    <w:rsid w:val="004D726B"/>
    <w:rsid w:val="00576F37"/>
    <w:rsid w:val="005819A1"/>
    <w:rsid w:val="005A67B7"/>
    <w:rsid w:val="005A722E"/>
    <w:rsid w:val="005C37FC"/>
    <w:rsid w:val="005E39CF"/>
    <w:rsid w:val="00630FAF"/>
    <w:rsid w:val="00654AB1"/>
    <w:rsid w:val="006A7E62"/>
    <w:rsid w:val="006F5506"/>
    <w:rsid w:val="00734CC6"/>
    <w:rsid w:val="00762AD0"/>
    <w:rsid w:val="0079159D"/>
    <w:rsid w:val="007A2266"/>
    <w:rsid w:val="007D35E1"/>
    <w:rsid w:val="008241EB"/>
    <w:rsid w:val="00833729"/>
    <w:rsid w:val="0087184A"/>
    <w:rsid w:val="00942FE2"/>
    <w:rsid w:val="0095066E"/>
    <w:rsid w:val="00952563"/>
    <w:rsid w:val="00961489"/>
    <w:rsid w:val="0099341A"/>
    <w:rsid w:val="009A2887"/>
    <w:rsid w:val="009F5419"/>
    <w:rsid w:val="00A03BB9"/>
    <w:rsid w:val="00A15682"/>
    <w:rsid w:val="00A23BD9"/>
    <w:rsid w:val="00A34187"/>
    <w:rsid w:val="00A3799A"/>
    <w:rsid w:val="00A72088"/>
    <w:rsid w:val="00A96893"/>
    <w:rsid w:val="00A973EE"/>
    <w:rsid w:val="00B151A5"/>
    <w:rsid w:val="00B2544B"/>
    <w:rsid w:val="00B33AE7"/>
    <w:rsid w:val="00B33F1F"/>
    <w:rsid w:val="00B8373C"/>
    <w:rsid w:val="00B92E5B"/>
    <w:rsid w:val="00BE1C28"/>
    <w:rsid w:val="00C05CA7"/>
    <w:rsid w:val="00C46332"/>
    <w:rsid w:val="00C60EEE"/>
    <w:rsid w:val="00CD0BC0"/>
    <w:rsid w:val="00CD78FA"/>
    <w:rsid w:val="00D00E43"/>
    <w:rsid w:val="00D31825"/>
    <w:rsid w:val="00D662C7"/>
    <w:rsid w:val="00D82ADA"/>
    <w:rsid w:val="00D877F7"/>
    <w:rsid w:val="00DA3B7D"/>
    <w:rsid w:val="00DB6E7A"/>
    <w:rsid w:val="00DE5A4D"/>
    <w:rsid w:val="00DF6530"/>
    <w:rsid w:val="00E253F0"/>
    <w:rsid w:val="00E25737"/>
    <w:rsid w:val="00E27855"/>
    <w:rsid w:val="00EB071F"/>
    <w:rsid w:val="00EC0A28"/>
    <w:rsid w:val="00EF6A04"/>
    <w:rsid w:val="00F271FA"/>
    <w:rsid w:val="00F31166"/>
    <w:rsid w:val="00F31328"/>
    <w:rsid w:val="00F444B1"/>
    <w:rsid w:val="00F7188F"/>
    <w:rsid w:val="00F747D4"/>
    <w:rsid w:val="00F802BC"/>
    <w:rsid w:val="00F90786"/>
    <w:rsid w:val="00F9095C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F5506"/>
    <w:pPr>
      <w:widowControl w:val="0"/>
      <w:ind w:left="220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6672"/>
    <w:rPr>
      <w:color w:val="808080"/>
    </w:rPr>
  </w:style>
  <w:style w:type="paragraph" w:customStyle="1" w:styleId="Default">
    <w:name w:val="Default"/>
    <w:rsid w:val="0095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F5506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5506"/>
    <w:pPr>
      <w:widowControl w:val="0"/>
      <w:ind w:left="697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F5506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6F55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55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0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B071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33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C463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6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7A55-2A64-4713-B6AC-912694CA7A36}"/>
      </w:docPartPr>
      <w:docPartBody>
        <w:p w:rsidR="00873F2E" w:rsidRDefault="00873F2E">
          <w:r w:rsidRPr="00F612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E"/>
    <w:rsid w:val="008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F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Milam, Rick</cp:lastModifiedBy>
  <cp:revision>2</cp:revision>
  <cp:lastPrinted>2017-05-31T13:16:00Z</cp:lastPrinted>
  <dcterms:created xsi:type="dcterms:W3CDTF">2018-10-22T14:01:00Z</dcterms:created>
  <dcterms:modified xsi:type="dcterms:W3CDTF">2018-10-22T14:01:00Z</dcterms:modified>
</cp:coreProperties>
</file>