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W w:w="10771" w:type="dxa"/>
        <w:tblInd w:w="15" w:type="dxa"/>
        <w:tblCellMar>
          <w:top w:w="25" w:type="dxa"/>
          <w:left w:w="108" w:type="dxa"/>
          <w:right w:w="115" w:type="dxa"/>
        </w:tblCellMar>
        <w:tblLook w:val="04A0" w:firstRow="1" w:lastRow="0" w:firstColumn="1" w:lastColumn="0" w:noHBand="0" w:noVBand="1"/>
      </w:tblPr>
      <w:tblGrid>
        <w:gridCol w:w="5206"/>
        <w:gridCol w:w="5565"/>
      </w:tblGrid>
      <w:tr w:rsidR="00E82271" w14:paraId="0FBB0FAE" w14:textId="77777777">
        <w:trPr>
          <w:trHeight w:val="598"/>
        </w:trPr>
        <w:tc>
          <w:tcPr>
            <w:tcW w:w="10771" w:type="dxa"/>
            <w:gridSpan w:val="2"/>
            <w:tcBorders>
              <w:top w:val="double" w:sz="4" w:space="0" w:color="000000"/>
              <w:left w:val="double" w:sz="4" w:space="0" w:color="000000"/>
              <w:bottom w:val="single" w:sz="4" w:space="0" w:color="000000"/>
              <w:right w:val="double" w:sz="4" w:space="0" w:color="000000"/>
            </w:tcBorders>
          </w:tcPr>
          <w:p w14:paraId="775840CE" w14:textId="40704614" w:rsidR="00E82271" w:rsidRDefault="00EF42D9">
            <w:pPr>
              <w:spacing w:after="0" w:line="259" w:lineRule="auto"/>
              <w:ind w:left="0" w:firstLine="0"/>
            </w:pPr>
            <w:r>
              <w:t xml:space="preserve"> </w:t>
            </w:r>
            <w:r>
              <w:rPr>
                <w:b/>
              </w:rPr>
              <w:t xml:space="preserve">PROTOCOL TITLE:  </w:t>
            </w:r>
            <w:r>
              <w:rPr>
                <w:b/>
                <w:color w:val="00007F"/>
              </w:rPr>
              <w:t xml:space="preserve">  </w:t>
            </w:r>
            <w:r>
              <w:t>Kidney/Pancreas Post Transplant: EBV Management</w:t>
            </w:r>
            <w:r>
              <w:rPr>
                <w:b/>
              </w:rPr>
              <w:t xml:space="preserve">   </w:t>
            </w:r>
            <w:r>
              <w:t xml:space="preserve"> </w:t>
            </w:r>
          </w:p>
        </w:tc>
      </w:tr>
      <w:tr w:rsidR="00E82271" w14:paraId="1AC34103" w14:textId="77777777">
        <w:trPr>
          <w:trHeight w:val="725"/>
        </w:trPr>
        <w:tc>
          <w:tcPr>
            <w:tcW w:w="10771" w:type="dxa"/>
            <w:gridSpan w:val="2"/>
            <w:tcBorders>
              <w:top w:val="single" w:sz="4" w:space="0" w:color="000000"/>
              <w:left w:val="double" w:sz="4" w:space="0" w:color="000000"/>
              <w:bottom w:val="single" w:sz="4" w:space="0" w:color="000000"/>
              <w:right w:val="double" w:sz="4" w:space="0" w:color="000000"/>
            </w:tcBorders>
          </w:tcPr>
          <w:p w14:paraId="16554EF8" w14:textId="77777777" w:rsidR="00E82271" w:rsidRDefault="00EF42D9">
            <w:pPr>
              <w:spacing w:after="105" w:line="259" w:lineRule="auto"/>
              <w:ind w:left="0" w:firstLine="0"/>
            </w:pPr>
            <w:r>
              <w:rPr>
                <w:b/>
              </w:rPr>
              <w:t>APPLICABLE FACILITIES:</w:t>
            </w:r>
            <w:r>
              <w:t xml:space="preserve"> (Check all that apply) </w:t>
            </w:r>
          </w:p>
          <w:p w14:paraId="61C341E1" w14:textId="77777777" w:rsidR="00E82271" w:rsidRDefault="00EF42D9">
            <w:pPr>
              <w:spacing w:after="0" w:line="259" w:lineRule="auto"/>
              <w:ind w:left="0" w:firstLine="0"/>
            </w:pPr>
            <w:r>
              <w:t xml:space="preserve"> </w:t>
            </w:r>
            <w:r>
              <w:rPr>
                <w:rFonts w:ascii="Segoe UI Symbol" w:eastAsia="Segoe UI Symbol" w:hAnsi="Segoe UI Symbol" w:cs="Segoe UI Symbol"/>
              </w:rPr>
              <w:t>☒</w:t>
            </w:r>
            <w:r>
              <w:t xml:space="preserve">EUH    </w:t>
            </w:r>
            <w:r>
              <w:rPr>
                <w:rFonts w:ascii="Segoe UI Symbol" w:eastAsia="Segoe UI Symbol" w:hAnsi="Segoe UI Symbol" w:cs="Segoe UI Symbol"/>
              </w:rPr>
              <w:t>☐</w:t>
            </w:r>
            <w:r>
              <w:t xml:space="preserve">EUOSH    </w:t>
            </w:r>
            <w:r>
              <w:rPr>
                <w:rFonts w:ascii="Segoe UI Symbol" w:eastAsia="Segoe UI Symbol" w:hAnsi="Segoe UI Symbol" w:cs="Segoe UI Symbol"/>
              </w:rPr>
              <w:t>☐</w:t>
            </w:r>
            <w:r>
              <w:t xml:space="preserve">EWWH    </w:t>
            </w:r>
            <w:r>
              <w:rPr>
                <w:rFonts w:ascii="Segoe UI Symbol" w:eastAsia="Segoe UI Symbol" w:hAnsi="Segoe UI Symbol" w:cs="Segoe UI Symbol"/>
              </w:rPr>
              <w:t>☐</w:t>
            </w:r>
            <w:r>
              <w:t xml:space="preserve">EUHM    </w:t>
            </w:r>
            <w:r>
              <w:rPr>
                <w:rFonts w:ascii="Segoe UI Symbol" w:eastAsia="Segoe UI Symbol" w:hAnsi="Segoe UI Symbol" w:cs="Segoe UI Symbol"/>
              </w:rPr>
              <w:t>☐</w:t>
            </w:r>
            <w:r>
              <w:t xml:space="preserve">EJCH    </w:t>
            </w:r>
            <w:r>
              <w:rPr>
                <w:rFonts w:ascii="Segoe UI Symbol" w:eastAsia="Segoe UI Symbol" w:hAnsi="Segoe UI Symbol" w:cs="Segoe UI Symbol"/>
              </w:rPr>
              <w:t>☐</w:t>
            </w:r>
            <w:r>
              <w:t xml:space="preserve">ESJH    </w:t>
            </w:r>
            <w:r>
              <w:rPr>
                <w:rFonts w:ascii="Segoe UI Symbol" w:eastAsia="Segoe UI Symbol" w:hAnsi="Segoe UI Symbol" w:cs="Segoe UI Symbol"/>
              </w:rPr>
              <w:t>☐</w:t>
            </w:r>
            <w:r>
              <w:t xml:space="preserve">TEC    </w:t>
            </w:r>
            <w:r>
              <w:rPr>
                <w:rFonts w:ascii="Segoe UI Symbol" w:eastAsia="Segoe UI Symbol" w:hAnsi="Segoe UI Symbol" w:cs="Segoe UI Symbol"/>
              </w:rPr>
              <w:t>☐</w:t>
            </w:r>
            <w:r>
              <w:t xml:space="preserve">ESA    </w:t>
            </w:r>
            <w:r>
              <w:rPr>
                <w:rFonts w:ascii="Segoe UI Symbol" w:eastAsia="Segoe UI Symbol" w:hAnsi="Segoe UI Symbol" w:cs="Segoe UI Symbol"/>
              </w:rPr>
              <w:t>☐</w:t>
            </w:r>
            <w:r>
              <w:t xml:space="preserve">ERH </w:t>
            </w:r>
          </w:p>
        </w:tc>
      </w:tr>
      <w:tr w:rsidR="00E82271" w14:paraId="57B1D65F" w14:textId="77777777" w:rsidTr="00933525">
        <w:trPr>
          <w:trHeight w:val="377"/>
        </w:trPr>
        <w:tc>
          <w:tcPr>
            <w:tcW w:w="5206" w:type="dxa"/>
            <w:tcBorders>
              <w:top w:val="single" w:sz="4" w:space="0" w:color="000000"/>
              <w:left w:val="double" w:sz="4" w:space="0" w:color="000000"/>
              <w:bottom w:val="double" w:sz="4" w:space="0" w:color="000000"/>
              <w:right w:val="single" w:sz="4" w:space="0" w:color="000000"/>
            </w:tcBorders>
          </w:tcPr>
          <w:p w14:paraId="4FA1D59F" w14:textId="1E93E9E1" w:rsidR="00E82271" w:rsidRDefault="00EF42D9">
            <w:pPr>
              <w:spacing w:after="0" w:line="259" w:lineRule="auto"/>
              <w:ind w:left="0" w:firstLine="0"/>
            </w:pPr>
            <w:r>
              <w:rPr>
                <w:b/>
              </w:rPr>
              <w:t>EFFECTIVE DATE:</w:t>
            </w:r>
            <w:r>
              <w:t xml:space="preserve"> </w:t>
            </w:r>
            <w:r w:rsidR="001277DA">
              <w:t>02/01/2023</w:t>
            </w:r>
          </w:p>
        </w:tc>
        <w:tc>
          <w:tcPr>
            <w:tcW w:w="5565" w:type="dxa"/>
            <w:tcBorders>
              <w:top w:val="single" w:sz="4" w:space="0" w:color="000000"/>
              <w:left w:val="single" w:sz="4" w:space="0" w:color="000000"/>
              <w:bottom w:val="double" w:sz="4" w:space="0" w:color="000000"/>
              <w:right w:val="double" w:sz="4" w:space="0" w:color="000000"/>
            </w:tcBorders>
          </w:tcPr>
          <w:p w14:paraId="0E8D242F" w14:textId="77777777" w:rsidR="00E82271" w:rsidRDefault="00EF42D9">
            <w:pPr>
              <w:spacing w:after="0" w:line="259" w:lineRule="auto"/>
              <w:ind w:left="0" w:firstLine="0"/>
            </w:pPr>
            <w:r>
              <w:rPr>
                <w:b/>
              </w:rPr>
              <w:t xml:space="preserve">ORIGINATION DATE:  </w:t>
            </w:r>
            <w:r>
              <w:t xml:space="preserve">6/20/2007 </w:t>
            </w:r>
          </w:p>
        </w:tc>
      </w:tr>
    </w:tbl>
    <w:p w14:paraId="5C79D64C" w14:textId="77777777" w:rsidR="00E82271" w:rsidRDefault="00EF42D9">
      <w:pPr>
        <w:spacing w:after="0" w:line="259" w:lineRule="auto"/>
        <w:ind w:left="0" w:firstLine="0"/>
      </w:pPr>
      <w:r>
        <w:t xml:space="preserve"> </w:t>
      </w:r>
    </w:p>
    <w:p w14:paraId="491F0F01" w14:textId="77777777" w:rsidR="00E82271" w:rsidRDefault="00EF42D9">
      <w:pPr>
        <w:spacing w:after="0" w:line="259" w:lineRule="auto"/>
        <w:ind w:left="-5"/>
      </w:pPr>
      <w:r>
        <w:rPr>
          <w:b/>
          <w:u w:val="single" w:color="000000"/>
        </w:rPr>
        <w:t>SCOPE:</w:t>
      </w:r>
      <w:r>
        <w:t xml:space="preserve">  </w:t>
      </w:r>
    </w:p>
    <w:p w14:paraId="478F7AB2" w14:textId="77777777" w:rsidR="00E82271" w:rsidRDefault="00EF42D9">
      <w:pPr>
        <w:spacing w:after="0"/>
        <w:ind w:left="-5"/>
      </w:pPr>
      <w:r>
        <w:t xml:space="preserve">All transplant program physicians, practitioners and clinical staff members are responsible for compliance with this clinical protocol. </w:t>
      </w:r>
    </w:p>
    <w:p w14:paraId="6662D6A1" w14:textId="77777777" w:rsidR="00E82271" w:rsidRDefault="00EF42D9">
      <w:pPr>
        <w:spacing w:after="0" w:line="259" w:lineRule="auto"/>
        <w:ind w:left="0" w:firstLine="0"/>
      </w:pPr>
      <w:r>
        <w:t xml:space="preserve"> </w:t>
      </w:r>
    </w:p>
    <w:p w14:paraId="78D0C1C4" w14:textId="77777777" w:rsidR="00E82271" w:rsidRDefault="00EF42D9">
      <w:pPr>
        <w:spacing w:after="0" w:line="259" w:lineRule="auto"/>
        <w:ind w:left="-5"/>
      </w:pPr>
      <w:r>
        <w:rPr>
          <w:b/>
          <w:u w:val="single" w:color="000000"/>
        </w:rPr>
        <w:t>PURPOSE:</w:t>
      </w:r>
      <w:r>
        <w:rPr>
          <w:b/>
        </w:rPr>
        <w:t xml:space="preserve"> </w:t>
      </w:r>
    </w:p>
    <w:p w14:paraId="7BA66FE4" w14:textId="331C6A60" w:rsidR="00E82271" w:rsidRDefault="00EF42D9">
      <w:pPr>
        <w:spacing w:after="10"/>
        <w:ind w:left="-5"/>
      </w:pPr>
      <w:r>
        <w:t>This protocol is necessary for the protection of patients, physicians and staff</w:t>
      </w:r>
      <w:r w:rsidR="007E13B7">
        <w:t>.</w:t>
      </w:r>
      <w:r>
        <w:t xml:space="preserve"> </w:t>
      </w:r>
    </w:p>
    <w:p w14:paraId="3B1F690D" w14:textId="77777777" w:rsidR="00E82271" w:rsidRDefault="00EF42D9">
      <w:pPr>
        <w:spacing w:after="0"/>
        <w:ind w:left="-5"/>
      </w:pPr>
      <w:r>
        <w:t xml:space="preserve">The Emory Transplant Center and all the solid organ transplant programs will comply with all applicable federal, state, and local laws, regulations, policies and protocols regarding the management of transplant patients.  </w:t>
      </w:r>
    </w:p>
    <w:p w14:paraId="3F0DEEDD" w14:textId="77777777" w:rsidR="00E82271" w:rsidRDefault="00EF42D9">
      <w:pPr>
        <w:spacing w:after="0" w:line="259" w:lineRule="auto"/>
        <w:ind w:left="0" w:firstLine="0"/>
      </w:pPr>
      <w:r>
        <w:rPr>
          <w:b/>
        </w:rPr>
        <w:t xml:space="preserve"> </w:t>
      </w:r>
    </w:p>
    <w:p w14:paraId="149177A5" w14:textId="77777777" w:rsidR="00E82271" w:rsidRDefault="00EF42D9">
      <w:pPr>
        <w:spacing w:after="98" w:line="259" w:lineRule="auto"/>
        <w:ind w:left="-5"/>
      </w:pPr>
      <w:r>
        <w:rPr>
          <w:b/>
          <w:u w:val="single" w:color="000000"/>
        </w:rPr>
        <w:t>PROTOCOL</w:t>
      </w:r>
      <w:r>
        <w:rPr>
          <w:b/>
        </w:rPr>
        <w:t>:</w:t>
      </w:r>
      <w:r>
        <w:t xml:space="preserve">  </w:t>
      </w:r>
    </w:p>
    <w:p w14:paraId="2BA7A2E0" w14:textId="77777777" w:rsidR="00E82271" w:rsidRDefault="00EF42D9" w:rsidP="001A1E9B">
      <w:pPr>
        <w:numPr>
          <w:ilvl w:val="0"/>
          <w:numId w:val="1"/>
        </w:numPr>
        <w:spacing w:after="120"/>
        <w:ind w:hanging="336"/>
      </w:pPr>
      <w:r>
        <w:t xml:space="preserve">All patients undergoing kidney (pancreas) transplantation will have the EBV status (antibody) rechecked at the time of transplantation.  </w:t>
      </w:r>
    </w:p>
    <w:p w14:paraId="59202C1D" w14:textId="77777777" w:rsidR="00E82271" w:rsidRDefault="00EF42D9" w:rsidP="001A1E9B">
      <w:pPr>
        <w:numPr>
          <w:ilvl w:val="0"/>
          <w:numId w:val="1"/>
        </w:numPr>
        <w:spacing w:after="120"/>
        <w:ind w:hanging="336"/>
      </w:pPr>
      <w:r>
        <w:t xml:space="preserve">EBV status of donor and recipient should be documented in </w:t>
      </w:r>
      <w:proofErr w:type="spellStart"/>
      <w:r>
        <w:t>eEMR</w:t>
      </w:r>
      <w:proofErr w:type="spellEnd"/>
      <w:r>
        <w:t xml:space="preserve">.   </w:t>
      </w:r>
    </w:p>
    <w:p w14:paraId="42492BFA" w14:textId="6A09DB0B" w:rsidR="00E82271" w:rsidRDefault="00EF42D9" w:rsidP="001A1E9B">
      <w:pPr>
        <w:numPr>
          <w:ilvl w:val="1"/>
          <w:numId w:val="2"/>
        </w:numPr>
        <w:spacing w:after="120"/>
        <w:ind w:hanging="336"/>
      </w:pPr>
      <w:r>
        <w:t xml:space="preserve">Recipient should be marked as EBV positive if </w:t>
      </w:r>
      <w:r>
        <w:rPr>
          <w:u w:val="single" w:color="000000"/>
        </w:rPr>
        <w:t>either</w:t>
      </w:r>
      <w:r>
        <w:t xml:space="preserve"> viral capsid antigen IgG or nuclear antigen antibody is positive.</w:t>
      </w:r>
    </w:p>
    <w:p w14:paraId="0C28EEB0" w14:textId="77777777" w:rsidR="00E82271" w:rsidRDefault="00EF42D9" w:rsidP="001A1E9B">
      <w:pPr>
        <w:numPr>
          <w:ilvl w:val="1"/>
          <w:numId w:val="2"/>
        </w:numPr>
        <w:spacing w:after="120"/>
        <w:ind w:hanging="336"/>
      </w:pPr>
      <w:r>
        <w:t xml:space="preserve">Donor should be marked as positive if ANY of the 3 EBV serologies are positive. </w:t>
      </w:r>
    </w:p>
    <w:p w14:paraId="195999C0" w14:textId="27D1B513" w:rsidR="00E82271" w:rsidRDefault="00EF42D9" w:rsidP="001A1E9B">
      <w:pPr>
        <w:numPr>
          <w:ilvl w:val="1"/>
          <w:numId w:val="2"/>
        </w:numPr>
        <w:spacing w:after="120"/>
        <w:ind w:hanging="336"/>
      </w:pPr>
      <w:r>
        <w:t xml:space="preserve">Note: Refer to immunosuppression protocol for information regarding EBV serology and belatacept eligibility </w:t>
      </w:r>
    </w:p>
    <w:p w14:paraId="1D6C1CFD" w14:textId="77777777" w:rsidR="00E82271" w:rsidRDefault="00EF42D9" w:rsidP="001A1E9B">
      <w:pPr>
        <w:numPr>
          <w:ilvl w:val="0"/>
          <w:numId w:val="1"/>
        </w:numPr>
        <w:spacing w:after="120"/>
        <w:ind w:hanging="336"/>
      </w:pPr>
      <w:r>
        <w:t xml:space="preserve">All patients will be informed of their donor/recipient EBV status and risk for EBV related disease by the post-transplant coordinator during the patient’s transplant admission.  </w:t>
      </w:r>
    </w:p>
    <w:p w14:paraId="57A0DF44" w14:textId="5C1C6C24" w:rsidR="00E82271" w:rsidRDefault="00B23453" w:rsidP="001A1E9B">
      <w:pPr>
        <w:numPr>
          <w:ilvl w:val="0"/>
          <w:numId w:val="1"/>
        </w:numPr>
        <w:spacing w:after="120"/>
        <w:ind w:hanging="336"/>
      </w:pPr>
      <w:r>
        <w:t xml:space="preserve">For EBV </w:t>
      </w:r>
      <w:r w:rsidR="00EF42D9">
        <w:t xml:space="preserve">D+/R - patients will be followed monthly by </w:t>
      </w:r>
      <w:r w:rsidR="007774FB">
        <w:t xml:space="preserve">EBV </w:t>
      </w:r>
      <w:r w:rsidR="00EF42D9">
        <w:t xml:space="preserve">PCR </w:t>
      </w:r>
      <w:r w:rsidR="007774FB">
        <w:t xml:space="preserve">in </w:t>
      </w:r>
      <w:r w:rsidR="007774FB" w:rsidRPr="001277DA">
        <w:rPr>
          <w:u w:val="single"/>
        </w:rPr>
        <w:t>plasma</w:t>
      </w:r>
      <w:r w:rsidR="00EF42D9">
        <w:t xml:space="preserve"> at months 1 – 6, 9 and 12 post-</w:t>
      </w:r>
      <w:proofErr w:type="gramStart"/>
      <w:r w:rsidR="00EF42D9">
        <w:t>transplant</w:t>
      </w:r>
      <w:proofErr w:type="gramEnd"/>
      <w:r w:rsidR="00EF42D9">
        <w:t xml:space="preserve">. EBV PCR testing will be discontinued after the 12 </w:t>
      </w:r>
      <w:proofErr w:type="gramStart"/>
      <w:r w:rsidR="00EF42D9">
        <w:t>month</w:t>
      </w:r>
      <w:proofErr w:type="gramEnd"/>
      <w:r w:rsidR="00EF42D9">
        <w:t xml:space="preserve"> draw unless clinically indicated and ordered by team clinical staff.</w:t>
      </w:r>
      <w:r w:rsidR="00EF42D9" w:rsidRPr="39EA8902">
        <w:rPr>
          <w:color w:val="0000FF"/>
        </w:rPr>
        <w:t xml:space="preserve"> </w:t>
      </w:r>
      <w:r w:rsidR="00EF42D9">
        <w:t xml:space="preserve"> </w:t>
      </w:r>
    </w:p>
    <w:p w14:paraId="19788F94" w14:textId="4DF9E9D1" w:rsidR="0004727B" w:rsidRDefault="0004727B" w:rsidP="001A1E9B">
      <w:pPr>
        <w:numPr>
          <w:ilvl w:val="0"/>
          <w:numId w:val="1"/>
        </w:numPr>
        <w:spacing w:after="120"/>
        <w:ind w:hanging="336"/>
      </w:pPr>
      <w:r>
        <w:t>For EBV R+ and EBV D-/R-, there should be no routine EBV PCR monitoring.</w:t>
      </w:r>
    </w:p>
    <w:p w14:paraId="51A206DF" w14:textId="77777777" w:rsidR="00E82271" w:rsidRDefault="00EF42D9" w:rsidP="001A1E9B">
      <w:pPr>
        <w:numPr>
          <w:ilvl w:val="0"/>
          <w:numId w:val="1"/>
        </w:numPr>
        <w:spacing w:after="120" w:line="259" w:lineRule="auto"/>
        <w:ind w:hanging="336"/>
      </w:pPr>
      <w:r>
        <w:rPr>
          <w:b/>
        </w:rPr>
        <w:t xml:space="preserve">Response to EBV Viremia:  </w:t>
      </w:r>
    </w:p>
    <w:p w14:paraId="7E7610A6" w14:textId="185AD051" w:rsidR="00E82271" w:rsidRDefault="00EF42D9" w:rsidP="001A1E9B">
      <w:pPr>
        <w:numPr>
          <w:ilvl w:val="1"/>
          <w:numId w:val="1"/>
        </w:numPr>
        <w:spacing w:after="120"/>
        <w:ind w:left="720" w:hanging="360"/>
      </w:pPr>
      <w:r>
        <w:t xml:space="preserve">If initial EBV PCR is &gt; 5,000 </w:t>
      </w:r>
      <w:r w:rsidR="00E20E77">
        <w:t>IU</w:t>
      </w:r>
      <w:r w:rsidR="00502656">
        <w:t>, then reduce dose of mycophenolate by 25%</w:t>
      </w:r>
      <w:r>
        <w:t>.  Repeat EBV PCR in 4</w:t>
      </w:r>
      <w:r w:rsidR="00D151DD">
        <w:t>-6</w:t>
      </w:r>
      <w:r>
        <w:t xml:space="preserve"> weeks.  </w:t>
      </w:r>
    </w:p>
    <w:p w14:paraId="1269ACD7" w14:textId="52F9813F" w:rsidR="00E82271" w:rsidRDefault="00EF42D9" w:rsidP="001A1E9B">
      <w:pPr>
        <w:numPr>
          <w:ilvl w:val="1"/>
          <w:numId w:val="1"/>
        </w:numPr>
        <w:spacing w:after="120"/>
        <w:ind w:left="720" w:hanging="360"/>
      </w:pPr>
      <w:r>
        <w:t xml:space="preserve">If </w:t>
      </w:r>
      <w:r w:rsidR="6475C5AB">
        <w:t xml:space="preserve">there is a &gt;50% reduction in the </w:t>
      </w:r>
      <w:r>
        <w:t>EBV PCR, continue to monitor every 4</w:t>
      </w:r>
      <w:r w:rsidR="00A07EA5">
        <w:t>-6</w:t>
      </w:r>
      <w:r>
        <w:t xml:space="preserve"> weeks until PCR &lt; 1,000 </w:t>
      </w:r>
      <w:r w:rsidR="00E20E77">
        <w:t>IU</w:t>
      </w:r>
      <w:r>
        <w:t xml:space="preserve">. If </w:t>
      </w:r>
      <w:r w:rsidR="0E31E5FA">
        <w:t>there is</w:t>
      </w:r>
      <w:r>
        <w:t xml:space="preserve"> &lt; 50% reduction in </w:t>
      </w:r>
      <w:r w:rsidR="262372C1">
        <w:t xml:space="preserve">the EBV </w:t>
      </w:r>
      <w:r>
        <w:t>PCR, consider either a further reduction</w:t>
      </w:r>
      <w:r w:rsidR="00A07EA5">
        <w:t xml:space="preserve"> of mycophenolate dose </w:t>
      </w:r>
      <w:r>
        <w:t>or</w:t>
      </w:r>
      <w:r w:rsidR="001277DA">
        <w:t xml:space="preserve"> </w:t>
      </w:r>
      <w:r w:rsidR="6FBD8C6B">
        <w:t>reduction of the</w:t>
      </w:r>
      <w:r w:rsidR="00A07EA5">
        <w:t xml:space="preserve"> calcineurin inhibitor </w:t>
      </w:r>
      <w:proofErr w:type="gramStart"/>
      <w:r w:rsidR="00A07EA5">
        <w:t xml:space="preserve">dose </w:t>
      </w:r>
      <w:r>
        <w:t>.</w:t>
      </w:r>
      <w:proofErr w:type="gramEnd"/>
      <w:r>
        <w:t xml:space="preserve"> Repeat EBV PCR in 4</w:t>
      </w:r>
      <w:r w:rsidR="00A07EA5">
        <w:t>-6</w:t>
      </w:r>
      <w:r>
        <w:t xml:space="preserve"> weeks and continue reduction in immunosuppression until EBV PCR &lt; 1,000 copies.  </w:t>
      </w:r>
    </w:p>
    <w:p w14:paraId="581B0728" w14:textId="4D0AC6A7" w:rsidR="00A81659" w:rsidRDefault="00E3735F" w:rsidP="001A1E9B">
      <w:pPr>
        <w:numPr>
          <w:ilvl w:val="0"/>
          <w:numId w:val="1"/>
        </w:numPr>
        <w:spacing w:after="120"/>
        <w:ind w:hanging="336"/>
      </w:pPr>
      <w:r>
        <w:lastRenderedPageBreak/>
        <w:t xml:space="preserve">PET Scan: </w:t>
      </w:r>
      <w:r w:rsidR="007B038A">
        <w:t>Referral for PET CT scan</w:t>
      </w:r>
      <w:r w:rsidR="00624C82">
        <w:t xml:space="preserve"> should be consider</w:t>
      </w:r>
      <w:r w:rsidR="002853DB">
        <w:t>ed</w:t>
      </w:r>
      <w:r w:rsidR="00624C82">
        <w:t xml:space="preserve"> </w:t>
      </w:r>
      <w:r w:rsidR="00580572">
        <w:t>if:</w:t>
      </w:r>
    </w:p>
    <w:p w14:paraId="25A89DAE" w14:textId="69DEF50F" w:rsidR="00E3735F" w:rsidRDefault="00624C82" w:rsidP="001A1E9B">
      <w:pPr>
        <w:numPr>
          <w:ilvl w:val="1"/>
          <w:numId w:val="1"/>
        </w:numPr>
        <w:spacing w:after="120"/>
        <w:ind w:left="720" w:hanging="336"/>
      </w:pPr>
      <w:r>
        <w:t>patient develops any</w:t>
      </w:r>
      <w:r w:rsidR="002853DB">
        <w:t xml:space="preserve"> symptoms consistent with PTLD (</w:t>
      </w:r>
      <w:proofErr w:type="spellStart"/>
      <w:r w:rsidR="002853DB">
        <w:t>eg</w:t>
      </w:r>
      <w:proofErr w:type="spellEnd"/>
      <w:r w:rsidR="002853DB">
        <w:t xml:space="preserve">, </w:t>
      </w:r>
      <w:r w:rsidR="00396749">
        <w:t xml:space="preserve">lymphadenopathy or </w:t>
      </w:r>
      <w:r w:rsidR="005E2551">
        <w:t xml:space="preserve">“B symptoms”: </w:t>
      </w:r>
      <w:r w:rsidR="00E536DB" w:rsidRPr="00E536DB">
        <w:t>fever, drenching night sweats and loss of more than 10 percent of body weight</w:t>
      </w:r>
      <w:r w:rsidR="002B19E3">
        <w:t>)</w:t>
      </w:r>
      <w:r w:rsidR="00BD68B4">
        <w:t>, or</w:t>
      </w:r>
      <w:r>
        <w:t xml:space="preserve"> </w:t>
      </w:r>
    </w:p>
    <w:p w14:paraId="48821739" w14:textId="5B306824" w:rsidR="00A81659" w:rsidRDefault="00954DB7" w:rsidP="001A1E9B">
      <w:pPr>
        <w:numPr>
          <w:ilvl w:val="1"/>
          <w:numId w:val="1"/>
        </w:numPr>
        <w:spacing w:after="120"/>
        <w:ind w:left="720" w:hanging="336"/>
      </w:pPr>
      <w:r>
        <w:t xml:space="preserve">EBV </w:t>
      </w:r>
      <w:r w:rsidR="00A55C23">
        <w:t xml:space="preserve">plasma </w:t>
      </w:r>
      <w:r>
        <w:t>PCR &gt; 50,000 IU</w:t>
      </w:r>
      <w:r w:rsidR="00BD68B4">
        <w:t>, or</w:t>
      </w:r>
    </w:p>
    <w:p w14:paraId="60CC63F8" w14:textId="5DFBA321" w:rsidR="2B447C12" w:rsidRDefault="2B447C12" w:rsidP="001A1E9B">
      <w:pPr>
        <w:numPr>
          <w:ilvl w:val="1"/>
          <w:numId w:val="1"/>
        </w:numPr>
        <w:spacing w:after="120"/>
        <w:ind w:left="720" w:hanging="336"/>
      </w:pPr>
      <w:r w:rsidRPr="39EA8902">
        <w:rPr>
          <w:color w:val="000000" w:themeColor="text1"/>
          <w:szCs w:val="24"/>
        </w:rPr>
        <w:t xml:space="preserve">EBV </w:t>
      </w:r>
      <w:r w:rsidR="00A55C23">
        <w:rPr>
          <w:color w:val="000000" w:themeColor="text1"/>
          <w:szCs w:val="24"/>
        </w:rPr>
        <w:t xml:space="preserve">plasma </w:t>
      </w:r>
      <w:r w:rsidRPr="39EA8902">
        <w:rPr>
          <w:color w:val="000000" w:themeColor="text1"/>
          <w:szCs w:val="24"/>
        </w:rPr>
        <w:t>PCR</w:t>
      </w:r>
      <w:r w:rsidR="00C7397D">
        <w:rPr>
          <w:color w:val="000000" w:themeColor="text1"/>
          <w:szCs w:val="24"/>
        </w:rPr>
        <w:t xml:space="preserve"> remains </w:t>
      </w:r>
      <w:r w:rsidRPr="39EA8902">
        <w:rPr>
          <w:color w:val="000000" w:themeColor="text1"/>
          <w:szCs w:val="24"/>
        </w:rPr>
        <w:t>&gt;</w:t>
      </w:r>
      <w:r w:rsidR="00C7397D">
        <w:rPr>
          <w:color w:val="000000" w:themeColor="text1"/>
          <w:szCs w:val="24"/>
        </w:rPr>
        <w:t xml:space="preserve"> </w:t>
      </w:r>
      <w:r w:rsidRPr="39EA8902">
        <w:rPr>
          <w:color w:val="000000" w:themeColor="text1"/>
          <w:szCs w:val="24"/>
        </w:rPr>
        <w:t>10,000 IU</w:t>
      </w:r>
      <w:r w:rsidR="3A35733B" w:rsidRPr="39EA8902">
        <w:rPr>
          <w:color w:val="000000" w:themeColor="text1"/>
          <w:szCs w:val="24"/>
        </w:rPr>
        <w:t xml:space="preserve"> despite reduction in immunosuppression</w:t>
      </w:r>
      <w:r w:rsidR="00F413F0">
        <w:rPr>
          <w:color w:val="000000" w:themeColor="text1"/>
          <w:szCs w:val="24"/>
        </w:rPr>
        <w:t>.</w:t>
      </w:r>
    </w:p>
    <w:p w14:paraId="7B186362" w14:textId="41A9AEED" w:rsidR="00E82271" w:rsidRDefault="00EF42D9" w:rsidP="001A1E9B">
      <w:pPr>
        <w:numPr>
          <w:ilvl w:val="0"/>
          <w:numId w:val="1"/>
        </w:numPr>
        <w:spacing w:after="120"/>
        <w:ind w:hanging="336"/>
      </w:pPr>
      <w:r>
        <w:t xml:space="preserve">Selected patients treated for EBV infection may be referred for follow up in the Transplant ID Clinic.  </w:t>
      </w:r>
    </w:p>
    <w:p w14:paraId="3F817CC9" w14:textId="53A8CC90" w:rsidR="006E47DA" w:rsidRPr="001A1E9B" w:rsidRDefault="00EF42D9" w:rsidP="00A20B47">
      <w:pPr>
        <w:numPr>
          <w:ilvl w:val="0"/>
          <w:numId w:val="1"/>
        </w:numPr>
        <w:spacing w:after="120" w:line="259" w:lineRule="auto"/>
        <w:ind w:hanging="336"/>
      </w:pPr>
      <w:r>
        <w:t>If patient is diagnosed with PTLD consider reduction of immune-suppressants and obtain Hematology</w:t>
      </w:r>
      <w:r w:rsidR="006A530A">
        <w:t>-Oncology</w:t>
      </w:r>
      <w:r>
        <w:t xml:space="preserve"> Consult</w:t>
      </w:r>
      <w:r w:rsidR="006C5AFF">
        <w:t>.</w:t>
      </w:r>
      <w:r>
        <w:t xml:space="preserve">  </w:t>
      </w:r>
    </w:p>
    <w:p w14:paraId="123AB823" w14:textId="0FE78261" w:rsidR="00E82271" w:rsidRDefault="00EF42D9" w:rsidP="001A1E9B">
      <w:pPr>
        <w:numPr>
          <w:ilvl w:val="0"/>
          <w:numId w:val="1"/>
        </w:numPr>
        <w:spacing w:after="120" w:line="259" w:lineRule="auto"/>
        <w:ind w:hanging="336"/>
      </w:pPr>
      <w:r w:rsidRPr="006E47DA">
        <w:rPr>
          <w:b/>
          <w:bCs/>
        </w:rPr>
        <w:t>Policy Review:</w:t>
      </w:r>
      <w:r>
        <w:t xml:space="preserve">  </w:t>
      </w:r>
    </w:p>
    <w:p w14:paraId="71B6DDF8" w14:textId="77777777" w:rsidR="00E82271" w:rsidRDefault="00EF42D9" w:rsidP="001A1E9B">
      <w:pPr>
        <w:spacing w:after="120"/>
        <w:ind w:left="281"/>
      </w:pPr>
      <w:r>
        <w:t xml:space="preserve">As part of the QAPI program, policy compliance and EBV viremia rates for the first twelve months post-transplant will be reviewed every six months by the transplant program’s clinical leadership and transplant infectious disease specialist.  </w:t>
      </w:r>
    </w:p>
    <w:p w14:paraId="0F6E6955" w14:textId="77777777" w:rsidR="00E82271" w:rsidRDefault="00EF42D9">
      <w:pPr>
        <w:spacing w:after="0" w:line="259" w:lineRule="auto"/>
        <w:ind w:left="0" w:firstLine="0"/>
      </w:pPr>
      <w:r>
        <w:t xml:space="preserve"> </w:t>
      </w:r>
    </w:p>
    <w:p w14:paraId="19CBADA2" w14:textId="77777777" w:rsidR="00E82271" w:rsidRDefault="00EF42D9">
      <w:pPr>
        <w:spacing w:after="0" w:line="259" w:lineRule="auto"/>
        <w:ind w:left="-5"/>
      </w:pPr>
      <w:r>
        <w:rPr>
          <w:b/>
          <w:u w:val="single" w:color="000000"/>
        </w:rPr>
        <w:t>RELATED DOCUMENT(S)/LINK(S):</w:t>
      </w:r>
      <w:r>
        <w:t xml:space="preserve"> </w:t>
      </w:r>
    </w:p>
    <w:p w14:paraId="35D0EBD4" w14:textId="194C48DC" w:rsidR="00E82271" w:rsidRDefault="00EF42D9">
      <w:pPr>
        <w:spacing w:after="10"/>
        <w:ind w:left="-5"/>
      </w:pPr>
      <w:r>
        <w:t xml:space="preserve">Related Document: KDIGO Clinical Practice Guidelines, October 21, 2009 </w:t>
      </w:r>
    </w:p>
    <w:p w14:paraId="2AF404E6" w14:textId="77777777" w:rsidR="00E82271" w:rsidRDefault="00EF42D9">
      <w:pPr>
        <w:spacing w:after="0" w:line="259" w:lineRule="auto"/>
        <w:ind w:left="0" w:firstLine="0"/>
      </w:pPr>
      <w:r>
        <w:t xml:space="preserve"> </w:t>
      </w:r>
    </w:p>
    <w:p w14:paraId="6E6CC012" w14:textId="77777777" w:rsidR="00E82271" w:rsidRDefault="00EF42D9">
      <w:pPr>
        <w:spacing w:after="0" w:line="259" w:lineRule="auto"/>
        <w:ind w:left="0" w:firstLine="0"/>
      </w:pPr>
      <w:r>
        <w:rPr>
          <w:b/>
          <w:u w:val="single" w:color="000000"/>
        </w:rPr>
        <w:t>DEFINITIONS:</w:t>
      </w:r>
      <w:r>
        <w:t xml:space="preserve"> </w:t>
      </w:r>
      <w:r>
        <w:rPr>
          <w:i/>
        </w:rPr>
        <w:t>(If applicable)</w:t>
      </w:r>
      <w:r>
        <w:t xml:space="preserve"> </w:t>
      </w:r>
    </w:p>
    <w:p w14:paraId="5D116E8B" w14:textId="77777777" w:rsidR="00E82271" w:rsidRDefault="00EF42D9">
      <w:pPr>
        <w:spacing w:after="10"/>
        <w:ind w:left="-5"/>
      </w:pPr>
      <w:r>
        <w:t xml:space="preserve">N/A </w:t>
      </w:r>
    </w:p>
    <w:p w14:paraId="00CABC04" w14:textId="77777777" w:rsidR="00E82271" w:rsidRDefault="00EF42D9">
      <w:pPr>
        <w:spacing w:after="0" w:line="259" w:lineRule="auto"/>
        <w:ind w:left="0" w:firstLine="0"/>
      </w:pPr>
      <w:r>
        <w:t xml:space="preserve"> </w:t>
      </w:r>
    </w:p>
    <w:p w14:paraId="7C9BA00B" w14:textId="77777777" w:rsidR="00E82271" w:rsidRDefault="00EF42D9">
      <w:pPr>
        <w:spacing w:after="0" w:line="259" w:lineRule="auto"/>
        <w:ind w:left="-5"/>
      </w:pPr>
      <w:r>
        <w:rPr>
          <w:b/>
          <w:u w:val="single" w:color="000000"/>
        </w:rPr>
        <w:t>REFERENCES AND SOURCES OF EVIDENCE:</w:t>
      </w:r>
      <w:r>
        <w:rPr>
          <w:b/>
        </w:rPr>
        <w:t xml:space="preserve"> </w:t>
      </w:r>
    </w:p>
    <w:p w14:paraId="7957C7D8" w14:textId="77777777" w:rsidR="00E82271" w:rsidRDefault="00EF42D9">
      <w:pPr>
        <w:spacing w:after="0"/>
        <w:ind w:left="-5"/>
      </w:pPr>
      <w:r>
        <w:t xml:space="preserve">KDIGO Clinical Practice Guideline for the Care of Kidney Transplant Recipients. </w:t>
      </w:r>
      <w:r>
        <w:rPr>
          <w:i/>
        </w:rPr>
        <w:t>American Journal of</w:t>
      </w:r>
      <w:r>
        <w:t xml:space="preserve"> </w:t>
      </w:r>
      <w:r>
        <w:rPr>
          <w:i/>
        </w:rPr>
        <w:t>Transplantation 2009</w:t>
      </w:r>
      <w:r>
        <w:t xml:space="preserve">; 9 (Suppl 3): Si–Si. </w:t>
      </w:r>
    </w:p>
    <w:p w14:paraId="2843479E" w14:textId="77777777" w:rsidR="00036BF4" w:rsidRDefault="00036BF4">
      <w:pPr>
        <w:spacing w:after="0"/>
        <w:ind w:left="-5"/>
      </w:pPr>
    </w:p>
    <w:p w14:paraId="7FD69670" w14:textId="31D770B7" w:rsidR="002224AB" w:rsidRDefault="001A1E9B" w:rsidP="002224AB">
      <w:pPr>
        <w:spacing w:after="0"/>
        <w:ind w:left="-5"/>
      </w:pPr>
      <w:r w:rsidRPr="001A1E9B">
        <w:t>UD Allen</w:t>
      </w:r>
      <w:r>
        <w:t xml:space="preserve">, </w:t>
      </w:r>
      <w:r w:rsidRPr="001A1E9B">
        <w:t xml:space="preserve">JK </w:t>
      </w:r>
      <w:proofErr w:type="spellStart"/>
      <w:r w:rsidRPr="001A1E9B">
        <w:t>Preiksaitis</w:t>
      </w:r>
      <w:proofErr w:type="spellEnd"/>
      <w:r>
        <w:t xml:space="preserve">, </w:t>
      </w:r>
      <w:r w:rsidRPr="001A1E9B">
        <w:t>AST ID</w:t>
      </w:r>
      <w:r>
        <w:t xml:space="preserve"> </w:t>
      </w:r>
      <w:r w:rsidRPr="001A1E9B">
        <w:t>C</w:t>
      </w:r>
      <w:r>
        <w:t>O</w:t>
      </w:r>
      <w:r w:rsidRPr="001A1E9B">
        <w:t>P</w:t>
      </w:r>
      <w:r>
        <w:t xml:space="preserve">. </w:t>
      </w:r>
      <w:r w:rsidR="002224AB" w:rsidRPr="002224AB">
        <w:t>Post-transplant lymphoproliferative disorders, Epstein-Barr virus infection, and disease in solid organ transplantation: Guidelines from the American Society of Transplantation Infectious Diseases Community of Practice</w:t>
      </w:r>
      <w:r w:rsidR="002224AB">
        <w:t xml:space="preserve">, </w:t>
      </w:r>
      <w:r w:rsidR="002224AB" w:rsidRPr="001A1E9B">
        <w:rPr>
          <w:i/>
          <w:iCs/>
        </w:rPr>
        <w:t>Clin Transplant</w:t>
      </w:r>
      <w:r>
        <w:rPr>
          <w:i/>
          <w:iCs/>
        </w:rPr>
        <w:t xml:space="preserve"> </w:t>
      </w:r>
      <w:r w:rsidR="002224AB">
        <w:t>2019;33(9</w:t>
      </w:r>
      <w:proofErr w:type="gramStart"/>
      <w:r w:rsidR="002224AB">
        <w:t>):e</w:t>
      </w:r>
      <w:proofErr w:type="gramEnd"/>
      <w:r w:rsidR="002224AB">
        <w:t xml:space="preserve">13652. </w:t>
      </w:r>
    </w:p>
    <w:p w14:paraId="379AACF8" w14:textId="77777777" w:rsidR="00E82271" w:rsidRDefault="00EF42D9">
      <w:pPr>
        <w:spacing w:after="0" w:line="259" w:lineRule="auto"/>
        <w:ind w:left="0" w:firstLine="0"/>
      </w:pPr>
      <w:r>
        <w:t xml:space="preserve"> </w:t>
      </w:r>
    </w:p>
    <w:p w14:paraId="43EA778A" w14:textId="77777777" w:rsidR="00E82271" w:rsidRDefault="00EF42D9">
      <w:pPr>
        <w:spacing w:after="0" w:line="259" w:lineRule="auto"/>
        <w:ind w:left="-5"/>
      </w:pPr>
      <w:r>
        <w:rPr>
          <w:b/>
          <w:u w:val="single" w:color="000000"/>
        </w:rPr>
        <w:t>KEY WORDS:</w:t>
      </w:r>
      <w:r>
        <w:rPr>
          <w:b/>
        </w:rPr>
        <w:t xml:space="preserve"> </w:t>
      </w:r>
    </w:p>
    <w:p w14:paraId="14F8D3FC" w14:textId="77777777" w:rsidR="00E82271" w:rsidRDefault="00EF42D9">
      <w:pPr>
        <w:spacing w:after="10"/>
        <w:ind w:left="-5"/>
      </w:pPr>
      <w:r>
        <w:t xml:space="preserve">kidney transplant, pancreas transplant, EBV, Epstein Barr Virus </w:t>
      </w:r>
    </w:p>
    <w:p w14:paraId="28E91EC6" w14:textId="77777777" w:rsidR="00E82271" w:rsidRDefault="00EF42D9">
      <w:pPr>
        <w:spacing w:after="0" w:line="259" w:lineRule="auto"/>
        <w:ind w:left="0" w:firstLine="0"/>
      </w:pPr>
      <w:r>
        <w:rPr>
          <w:b/>
        </w:rPr>
        <w:t xml:space="preserve"> </w:t>
      </w:r>
    </w:p>
    <w:p w14:paraId="124E5C90" w14:textId="77777777" w:rsidR="00E82271" w:rsidRDefault="00EF42D9">
      <w:pPr>
        <w:spacing w:after="0" w:line="259" w:lineRule="auto"/>
        <w:ind w:left="0" w:firstLine="0"/>
      </w:pPr>
      <w:r>
        <w:rPr>
          <w:b/>
        </w:rPr>
        <w:t xml:space="preserve"> </w:t>
      </w:r>
    </w:p>
    <w:tbl>
      <w:tblPr>
        <w:tblStyle w:val="TableGrid1"/>
        <w:tblW w:w="10771" w:type="dxa"/>
        <w:tblInd w:w="15" w:type="dxa"/>
        <w:tblCellMar>
          <w:top w:w="73" w:type="dxa"/>
          <w:left w:w="108" w:type="dxa"/>
          <w:right w:w="115" w:type="dxa"/>
        </w:tblCellMar>
        <w:tblLook w:val="04A0" w:firstRow="1" w:lastRow="0" w:firstColumn="1" w:lastColumn="0" w:noHBand="0" w:noVBand="1"/>
      </w:tblPr>
      <w:tblGrid>
        <w:gridCol w:w="5925"/>
        <w:gridCol w:w="4846"/>
      </w:tblGrid>
      <w:tr w:rsidR="00E82271" w14:paraId="314BC5A0" w14:textId="77777777">
        <w:trPr>
          <w:trHeight w:val="1272"/>
        </w:trPr>
        <w:tc>
          <w:tcPr>
            <w:tcW w:w="10771" w:type="dxa"/>
            <w:gridSpan w:val="2"/>
            <w:tcBorders>
              <w:top w:val="double" w:sz="4" w:space="0" w:color="000000"/>
              <w:left w:val="double" w:sz="4" w:space="0" w:color="000000"/>
              <w:bottom w:val="single" w:sz="4" w:space="0" w:color="000000"/>
              <w:right w:val="double" w:sz="4" w:space="0" w:color="000000"/>
            </w:tcBorders>
          </w:tcPr>
          <w:p w14:paraId="6341B07D" w14:textId="77777777" w:rsidR="00E82271" w:rsidRDefault="00EF42D9">
            <w:pPr>
              <w:spacing w:after="127" w:line="259" w:lineRule="auto"/>
              <w:ind w:left="0" w:firstLine="0"/>
            </w:pPr>
            <w:r>
              <w:rPr>
                <w:b/>
                <w:u w:val="single" w:color="000000"/>
              </w:rPr>
              <w:t>REVIEW/APPROVAL SUMMARY:</w:t>
            </w:r>
            <w:r>
              <w:rPr>
                <w:u w:val="single" w:color="000000"/>
              </w:rPr>
              <w:t xml:space="preserve"> Please select all Approving Bodies:</w:t>
            </w:r>
            <w:r>
              <w:t xml:space="preserve"> </w:t>
            </w:r>
          </w:p>
          <w:p w14:paraId="6A1CA3BE" w14:textId="77777777" w:rsidR="00E82271" w:rsidRDefault="00EF42D9">
            <w:pPr>
              <w:spacing w:after="69" w:line="259" w:lineRule="auto"/>
              <w:ind w:left="0" w:firstLine="0"/>
            </w:pPr>
            <w:r>
              <w:rPr>
                <w:rFonts w:ascii="Segoe UI Symbol" w:eastAsia="Segoe UI Symbol" w:hAnsi="Segoe UI Symbol" w:cs="Segoe UI Symbol"/>
              </w:rPr>
              <w:t>☐</w:t>
            </w:r>
            <w:r>
              <w:t xml:space="preserve">EUH </w:t>
            </w:r>
            <w:proofErr w:type="gramStart"/>
            <w:r>
              <w:t xml:space="preserve">MEC  </w:t>
            </w:r>
            <w:r>
              <w:rPr>
                <w:rFonts w:ascii="Segoe UI Symbol" w:eastAsia="Segoe UI Symbol" w:hAnsi="Segoe UI Symbol" w:cs="Segoe UI Symbol"/>
              </w:rPr>
              <w:t>☐</w:t>
            </w:r>
            <w:proofErr w:type="gramEnd"/>
            <w:r>
              <w:t xml:space="preserve"> EUHM MEC  </w:t>
            </w:r>
            <w:r>
              <w:rPr>
                <w:rFonts w:ascii="Segoe UI Symbol" w:eastAsia="Segoe UI Symbol" w:hAnsi="Segoe UI Symbol" w:cs="Segoe UI Symbol"/>
              </w:rPr>
              <w:t>☐</w:t>
            </w:r>
            <w:r>
              <w:t xml:space="preserve">ESJH MEC  </w:t>
            </w:r>
            <w:r>
              <w:rPr>
                <w:rFonts w:ascii="Segoe UI Symbol" w:eastAsia="Segoe UI Symbol" w:hAnsi="Segoe UI Symbol" w:cs="Segoe UI Symbol"/>
              </w:rPr>
              <w:t>☐</w:t>
            </w:r>
            <w:r>
              <w:t xml:space="preserve">EJCH MEC  </w:t>
            </w:r>
            <w:r>
              <w:rPr>
                <w:rFonts w:ascii="Segoe UI Symbol" w:eastAsia="Segoe UI Symbol" w:hAnsi="Segoe UI Symbol" w:cs="Segoe UI Symbol"/>
              </w:rPr>
              <w:t>☐</w:t>
            </w:r>
            <w:r>
              <w:t xml:space="preserve">CNE Council   </w:t>
            </w:r>
            <w:r>
              <w:rPr>
                <w:rFonts w:ascii="Segoe UI Symbol" w:eastAsia="Segoe UI Symbol" w:hAnsi="Segoe UI Symbol" w:cs="Segoe UI Symbol"/>
              </w:rPr>
              <w:t>☐</w:t>
            </w:r>
            <w:r>
              <w:t xml:space="preserve">System Operations </w:t>
            </w:r>
          </w:p>
          <w:p w14:paraId="67C2A549" w14:textId="77777777" w:rsidR="00E82271" w:rsidRDefault="00EF42D9">
            <w:pPr>
              <w:spacing w:after="0" w:line="259" w:lineRule="auto"/>
              <w:ind w:left="0" w:firstLine="0"/>
            </w:pPr>
            <w:r>
              <w:t xml:space="preserve">Renal Transplant Leadership Group  </w:t>
            </w:r>
          </w:p>
        </w:tc>
      </w:tr>
      <w:tr w:rsidR="00E82271" w14:paraId="77B2B02C" w14:textId="77777777">
        <w:trPr>
          <w:trHeight w:val="377"/>
        </w:trPr>
        <w:tc>
          <w:tcPr>
            <w:tcW w:w="5926" w:type="dxa"/>
            <w:tcBorders>
              <w:top w:val="single" w:sz="4" w:space="0" w:color="000000"/>
              <w:left w:val="double" w:sz="4" w:space="0" w:color="000000"/>
              <w:bottom w:val="double" w:sz="4" w:space="0" w:color="000000"/>
              <w:right w:val="single" w:sz="4" w:space="0" w:color="000000"/>
            </w:tcBorders>
          </w:tcPr>
          <w:p w14:paraId="42E95860" w14:textId="77777777" w:rsidR="00E82271" w:rsidRDefault="00EF42D9">
            <w:pPr>
              <w:spacing w:after="0" w:line="259" w:lineRule="auto"/>
              <w:ind w:left="0" w:firstLine="0"/>
            </w:pPr>
            <w:r>
              <w:rPr>
                <w:b/>
              </w:rPr>
              <w:t>REVIEW/REVISION DATES:</w:t>
            </w:r>
            <w:r>
              <w:t xml:space="preserve"> 4/28/2017 </w:t>
            </w:r>
          </w:p>
        </w:tc>
        <w:tc>
          <w:tcPr>
            <w:tcW w:w="4846" w:type="dxa"/>
            <w:tcBorders>
              <w:top w:val="single" w:sz="4" w:space="0" w:color="000000"/>
              <w:left w:val="single" w:sz="4" w:space="0" w:color="000000"/>
              <w:bottom w:val="double" w:sz="4" w:space="0" w:color="000000"/>
              <w:right w:val="double" w:sz="4" w:space="0" w:color="000000"/>
            </w:tcBorders>
          </w:tcPr>
          <w:p w14:paraId="0CF03F22" w14:textId="77777777" w:rsidR="00E82271" w:rsidRDefault="00EF42D9">
            <w:pPr>
              <w:spacing w:after="0" w:line="259" w:lineRule="auto"/>
              <w:ind w:left="0" w:firstLine="0"/>
            </w:pPr>
            <w:r>
              <w:rPr>
                <w:b/>
              </w:rPr>
              <w:t>APPROVAL DATE:</w:t>
            </w:r>
            <w:r>
              <w:t xml:space="preserve"> 4/28/2017 </w:t>
            </w:r>
          </w:p>
        </w:tc>
      </w:tr>
    </w:tbl>
    <w:p w14:paraId="595B7A6B" w14:textId="6B853FB6" w:rsidR="00E82271" w:rsidRDefault="00EF42D9">
      <w:pPr>
        <w:spacing w:after="0" w:line="259" w:lineRule="auto"/>
        <w:ind w:left="0" w:firstLine="0"/>
      </w:pPr>
      <w:r>
        <w:t xml:space="preserve"> </w:t>
      </w:r>
    </w:p>
    <w:sectPr w:rsidR="00E82271" w:rsidSect="00933525">
      <w:headerReference w:type="default" r:id="rId7"/>
      <w:footerReference w:type="default" r:id="rId8"/>
      <w:pgSz w:w="12240" w:h="15840"/>
      <w:pgMar w:top="189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513B4" w14:textId="77777777" w:rsidR="00E43657" w:rsidRDefault="00E43657" w:rsidP="00BD545E">
      <w:pPr>
        <w:spacing w:after="0" w:line="240" w:lineRule="auto"/>
      </w:pPr>
      <w:r>
        <w:separator/>
      </w:r>
    </w:p>
  </w:endnote>
  <w:endnote w:type="continuationSeparator" w:id="0">
    <w:p w14:paraId="635F7C57" w14:textId="77777777" w:rsidR="00E43657" w:rsidRDefault="00E43657" w:rsidP="00BD545E">
      <w:pPr>
        <w:spacing w:after="0" w:line="240" w:lineRule="auto"/>
      </w:pPr>
      <w:r>
        <w:continuationSeparator/>
      </w:r>
    </w:p>
  </w:endnote>
  <w:endnote w:type="continuationNotice" w:id="1">
    <w:p w14:paraId="572872A4" w14:textId="77777777" w:rsidR="00E43657" w:rsidRDefault="00E4365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655A5" w14:textId="45C4EA69" w:rsidR="00BD545E" w:rsidRDefault="00BD545E">
    <w:pPr>
      <w:pStyle w:val="Footer"/>
    </w:pPr>
    <w:r>
      <w:rPr>
        <w:sz w:val="16"/>
      </w:rPr>
      <w:t>Kidney/Pancreas Post Transplant: EBV Management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0A59E2" w14:textId="77777777" w:rsidR="00E43657" w:rsidRDefault="00E43657" w:rsidP="00BD545E">
      <w:pPr>
        <w:spacing w:after="0" w:line="240" w:lineRule="auto"/>
      </w:pPr>
      <w:r>
        <w:separator/>
      </w:r>
    </w:p>
  </w:footnote>
  <w:footnote w:type="continuationSeparator" w:id="0">
    <w:p w14:paraId="4E698EC6" w14:textId="77777777" w:rsidR="00E43657" w:rsidRDefault="00E43657" w:rsidP="00BD545E">
      <w:pPr>
        <w:spacing w:after="0" w:line="240" w:lineRule="auto"/>
      </w:pPr>
      <w:r>
        <w:continuationSeparator/>
      </w:r>
    </w:p>
  </w:footnote>
  <w:footnote w:type="continuationNotice" w:id="1">
    <w:p w14:paraId="3978CD18" w14:textId="77777777" w:rsidR="00E43657" w:rsidRDefault="00E4365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992CB" w14:textId="22ACB966" w:rsidR="00BD545E" w:rsidRDefault="00BD545E">
    <w:pPr>
      <w:pStyle w:val="Header"/>
    </w:pPr>
    <w:r>
      <w:rPr>
        <w:noProof/>
      </w:rPr>
      <w:drawing>
        <wp:inline distT="0" distB="0" distL="0" distR="0" wp14:anchorId="575139D9" wp14:editId="622511B9">
          <wp:extent cx="1292352" cy="451104"/>
          <wp:effectExtent l="0" t="0" r="0" b="0"/>
          <wp:docPr id="15" name="Picture 15"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
                  <a:stretch>
                    <a:fillRect/>
                  </a:stretch>
                </pic:blipFill>
                <pic:spPr>
                  <a:xfrm>
                    <a:off x="0" y="0"/>
                    <a:ext cx="1292352" cy="45110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020910"/>
    <w:multiLevelType w:val="hybridMultilevel"/>
    <w:tmpl w:val="94620476"/>
    <w:lvl w:ilvl="0" w:tplc="65E21680">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62EF48A">
      <w:start w:val="1"/>
      <w:numFmt w:val="lowerLetter"/>
      <w:lvlText w:val="%2."/>
      <w:lvlJc w:val="left"/>
      <w:pPr>
        <w:ind w:left="10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0CAB568">
      <w:start w:val="1"/>
      <w:numFmt w:val="lowerRoman"/>
      <w:lvlText w:val="%3"/>
      <w:lvlJc w:val="left"/>
      <w:pPr>
        <w:ind w:left="18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4867530">
      <w:start w:val="1"/>
      <w:numFmt w:val="decimal"/>
      <w:lvlText w:val="%4"/>
      <w:lvlJc w:val="left"/>
      <w:pPr>
        <w:ind w:left="25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5DEEAE4">
      <w:start w:val="1"/>
      <w:numFmt w:val="lowerLetter"/>
      <w:lvlText w:val="%5"/>
      <w:lvlJc w:val="left"/>
      <w:pPr>
        <w:ind w:left="32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E4C4C18">
      <w:start w:val="1"/>
      <w:numFmt w:val="lowerRoman"/>
      <w:lvlText w:val="%6"/>
      <w:lvlJc w:val="left"/>
      <w:pPr>
        <w:ind w:left="39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2224174">
      <w:start w:val="1"/>
      <w:numFmt w:val="decimal"/>
      <w:lvlText w:val="%7"/>
      <w:lvlJc w:val="left"/>
      <w:pPr>
        <w:ind w:left="46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BA8F9D2">
      <w:start w:val="1"/>
      <w:numFmt w:val="lowerLetter"/>
      <w:lvlText w:val="%8"/>
      <w:lvlJc w:val="left"/>
      <w:pPr>
        <w:ind w:left="54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0CAF91C">
      <w:start w:val="1"/>
      <w:numFmt w:val="lowerRoman"/>
      <w:lvlText w:val="%9"/>
      <w:lvlJc w:val="left"/>
      <w:pPr>
        <w:ind w:left="61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A800872"/>
    <w:multiLevelType w:val="hybridMultilevel"/>
    <w:tmpl w:val="774C37BA"/>
    <w:lvl w:ilvl="0" w:tplc="3E5CE13A">
      <w:start w:val="1"/>
      <w:numFmt w:val="decimal"/>
      <w:lvlText w:val="%1."/>
      <w:lvlJc w:val="left"/>
      <w:pPr>
        <w:ind w:left="3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B748918">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84416E6">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440188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556A928">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0562000">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B7A26F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30285F4">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CFA46AC">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trackRevisions/>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271"/>
    <w:rsid w:val="00036BF4"/>
    <w:rsid w:val="0004727B"/>
    <w:rsid w:val="001277DA"/>
    <w:rsid w:val="001846D0"/>
    <w:rsid w:val="001A1E9B"/>
    <w:rsid w:val="001E78F6"/>
    <w:rsid w:val="00216E2A"/>
    <w:rsid w:val="002224AB"/>
    <w:rsid w:val="002853DB"/>
    <w:rsid w:val="002B19E3"/>
    <w:rsid w:val="002D615D"/>
    <w:rsid w:val="00371C43"/>
    <w:rsid w:val="00396749"/>
    <w:rsid w:val="003B3050"/>
    <w:rsid w:val="00492641"/>
    <w:rsid w:val="00502656"/>
    <w:rsid w:val="00540F07"/>
    <w:rsid w:val="00580572"/>
    <w:rsid w:val="005E2551"/>
    <w:rsid w:val="00624C82"/>
    <w:rsid w:val="006435D3"/>
    <w:rsid w:val="006A530A"/>
    <w:rsid w:val="006C5AFF"/>
    <w:rsid w:val="006E47DA"/>
    <w:rsid w:val="007774FB"/>
    <w:rsid w:val="007B038A"/>
    <w:rsid w:val="007E13B7"/>
    <w:rsid w:val="00835EED"/>
    <w:rsid w:val="00837B28"/>
    <w:rsid w:val="008E4E9B"/>
    <w:rsid w:val="009067B5"/>
    <w:rsid w:val="0093038F"/>
    <w:rsid w:val="00933525"/>
    <w:rsid w:val="00954DB7"/>
    <w:rsid w:val="00A07EA5"/>
    <w:rsid w:val="00A20B47"/>
    <w:rsid w:val="00A21468"/>
    <w:rsid w:val="00A55C23"/>
    <w:rsid w:val="00A81659"/>
    <w:rsid w:val="00A86158"/>
    <w:rsid w:val="00B2165D"/>
    <w:rsid w:val="00B23453"/>
    <w:rsid w:val="00BA46AB"/>
    <w:rsid w:val="00BD545E"/>
    <w:rsid w:val="00BD68B4"/>
    <w:rsid w:val="00C44A16"/>
    <w:rsid w:val="00C7397D"/>
    <w:rsid w:val="00D151DD"/>
    <w:rsid w:val="00D56ABF"/>
    <w:rsid w:val="00E13AD2"/>
    <w:rsid w:val="00E20E77"/>
    <w:rsid w:val="00E3735F"/>
    <w:rsid w:val="00E43657"/>
    <w:rsid w:val="00E536DB"/>
    <w:rsid w:val="00E82271"/>
    <w:rsid w:val="00EF42D9"/>
    <w:rsid w:val="00F04EBF"/>
    <w:rsid w:val="00F413F0"/>
    <w:rsid w:val="00F6458E"/>
    <w:rsid w:val="00FD0C11"/>
    <w:rsid w:val="00FE6C30"/>
    <w:rsid w:val="03F22465"/>
    <w:rsid w:val="0E31E5FA"/>
    <w:rsid w:val="10B77F10"/>
    <w:rsid w:val="2025956C"/>
    <w:rsid w:val="21C165CD"/>
    <w:rsid w:val="262372C1"/>
    <w:rsid w:val="2B447C12"/>
    <w:rsid w:val="2D9AEB0B"/>
    <w:rsid w:val="312F7C29"/>
    <w:rsid w:val="39EA8902"/>
    <w:rsid w:val="3A35733B"/>
    <w:rsid w:val="3DBF554F"/>
    <w:rsid w:val="6475C5AB"/>
    <w:rsid w:val="6FBD8C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C318E"/>
  <w15:docId w15:val="{EF9A934B-CE2B-48CC-B697-3808128B1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1" w:line="250" w:lineRule="auto"/>
      <w:ind w:left="10" w:hanging="10"/>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3B3050"/>
    <w:pPr>
      <w:spacing w:after="0" w:line="240" w:lineRule="auto"/>
    </w:pPr>
    <w:rPr>
      <w:rFonts w:ascii="Arial" w:eastAsia="Arial" w:hAnsi="Arial" w:cs="Arial"/>
      <w:color w:val="000000"/>
      <w:sz w:val="24"/>
    </w:rPr>
  </w:style>
  <w:style w:type="paragraph" w:styleId="Header">
    <w:name w:val="header"/>
    <w:basedOn w:val="Normal"/>
    <w:link w:val="HeaderChar"/>
    <w:uiPriority w:val="99"/>
    <w:unhideWhenUsed/>
    <w:rsid w:val="00BD54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545E"/>
    <w:rPr>
      <w:rFonts w:ascii="Arial" w:eastAsia="Arial" w:hAnsi="Arial" w:cs="Arial"/>
      <w:color w:val="000000"/>
      <w:sz w:val="24"/>
    </w:rPr>
  </w:style>
  <w:style w:type="paragraph" w:styleId="Footer">
    <w:name w:val="footer"/>
    <w:basedOn w:val="Normal"/>
    <w:link w:val="FooterChar"/>
    <w:uiPriority w:val="99"/>
    <w:unhideWhenUsed/>
    <w:rsid w:val="00BD54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545E"/>
    <w:rPr>
      <w:rFonts w:ascii="Arial" w:eastAsia="Arial" w:hAnsi="Arial" w:cs="Arial"/>
      <w:color w:val="000000"/>
      <w:sz w:val="24"/>
    </w:rPr>
  </w:style>
  <w:style w:type="table" w:customStyle="1" w:styleId="TableGrid1">
    <w:name w:val="Table Grid1"/>
    <w:rsid w:val="008E4E9B"/>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596</Words>
  <Characters>3402</Characters>
  <Application>Microsoft Office Word</Application>
  <DocSecurity>0</DocSecurity>
  <Lines>28</Lines>
  <Paragraphs>7</Paragraphs>
  <ScaleCrop>false</ScaleCrop>
  <Company/>
  <LinksUpToDate>false</LinksUpToDate>
  <CharactersWithSpaces>3991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emory_policy_1539347093.5582_21863</dc:title>
  <dc:subject/>
  <dc:creator>Sharlene Toney</dc:creator>
  <cp:keywords/>
  <cp:lastModifiedBy>Parsons, Ronald F.</cp:lastModifiedBy>
  <cp:revision>2</cp:revision>
  <dcterms:created xsi:type="dcterms:W3CDTF">2023-02-01T15:41:00Z</dcterms:created>
  <dcterms:modified xsi:type="dcterms:W3CDTF">2023-02-01T15:41:00Z</dcterms:modified>
</cp:coreProperties>
</file>