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C1FD9" w14:textId="77777777" w:rsidR="00D82ADA" w:rsidRPr="00120DE3" w:rsidRDefault="00D82ADA" w:rsidP="00D82AD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1742"/>
        <w:tblW w:w="107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25"/>
        <w:gridCol w:w="4845"/>
      </w:tblGrid>
      <w:tr w:rsidR="00576F37" w:rsidRPr="00120DE3" w14:paraId="4AE340B9" w14:textId="77777777" w:rsidTr="34F15EB1">
        <w:trPr>
          <w:trHeight w:val="702"/>
        </w:trPr>
        <w:tc>
          <w:tcPr>
            <w:tcW w:w="10770" w:type="dxa"/>
            <w:gridSpan w:val="2"/>
            <w:tcBorders>
              <w:bottom w:val="single" w:sz="4" w:space="0" w:color="auto"/>
            </w:tcBorders>
          </w:tcPr>
          <w:p w14:paraId="23CEAD83" w14:textId="7EB427DF" w:rsidR="00576F37" w:rsidRPr="00120DE3" w:rsidRDefault="34F15EB1" w:rsidP="002A3DF1">
            <w:pPr>
              <w:spacing w:before="60"/>
              <w:rPr>
                <w:rFonts w:ascii="Arial" w:hAnsi="Arial" w:cs="Arial"/>
              </w:rPr>
            </w:pPr>
            <w:r w:rsidRPr="34F15EB1">
              <w:rPr>
                <w:rFonts w:ascii="Arial" w:hAnsi="Arial" w:cs="Arial"/>
                <w:b/>
                <w:bCs/>
              </w:rPr>
              <w:t>TITLE:</w:t>
            </w:r>
            <w:r w:rsidRPr="34F15EB1">
              <w:rPr>
                <w:rFonts w:ascii="Arial" w:hAnsi="Arial" w:cs="Arial"/>
              </w:rPr>
              <w:t xml:space="preserve"> </w:t>
            </w:r>
            <w:r>
              <w:t xml:space="preserve"> </w:t>
            </w:r>
            <w:r w:rsidR="00152742">
              <w:rPr>
                <w:rFonts w:ascii="Arial" w:hAnsi="Arial" w:cs="Arial"/>
              </w:rPr>
              <w:t xml:space="preserve">Emory Transplant Center Kidney/Pancreas </w:t>
            </w:r>
            <w:r w:rsidR="00294F16">
              <w:rPr>
                <w:rFonts w:ascii="Arial" w:hAnsi="Arial" w:cs="Arial"/>
              </w:rPr>
              <w:t>Direct Oral Anticoagulants</w:t>
            </w:r>
          </w:p>
        </w:tc>
      </w:tr>
      <w:tr w:rsidR="00576F37" w:rsidRPr="00120DE3" w14:paraId="41D76C6C" w14:textId="77777777" w:rsidTr="34F15EB1">
        <w:trPr>
          <w:trHeight w:val="702"/>
        </w:trPr>
        <w:tc>
          <w:tcPr>
            <w:tcW w:w="10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36D3A6" w14:textId="77777777" w:rsidR="00576F37" w:rsidRDefault="34F15EB1" w:rsidP="34F15EB1">
            <w:pPr>
              <w:spacing w:before="60"/>
              <w:rPr>
                <w:rFonts w:ascii="Arial" w:hAnsi="Arial" w:cs="Arial"/>
              </w:rPr>
            </w:pPr>
            <w:r w:rsidRPr="34F15EB1">
              <w:rPr>
                <w:rFonts w:ascii="Arial" w:hAnsi="Arial" w:cs="Arial"/>
                <w:b/>
                <w:bCs/>
              </w:rPr>
              <w:t>APPLICABLE FACILITIES:</w:t>
            </w:r>
            <w:r w:rsidRPr="34F15EB1">
              <w:rPr>
                <w:rFonts w:ascii="Arial" w:hAnsi="Arial" w:cs="Arial"/>
              </w:rPr>
              <w:t xml:space="preserve"> (check all that apply)</w:t>
            </w:r>
          </w:p>
          <w:p w14:paraId="516243FF" w14:textId="77777777" w:rsidR="00F444B1" w:rsidRPr="00A96893" w:rsidRDefault="34F15EB1" w:rsidP="34F15EB1">
            <w:pPr>
              <w:spacing w:before="60"/>
              <w:jc w:val="center"/>
              <w:rPr>
                <w:rFonts w:ascii="Arial" w:hAnsi="Arial" w:cs="Arial"/>
              </w:rPr>
            </w:pPr>
            <w:r w:rsidRPr="34F15EB1">
              <w:rPr>
                <w:rFonts w:ascii="Arial" w:hAnsi="Arial" w:cs="Arial"/>
                <w:highlight w:val="green"/>
              </w:rPr>
              <w:t>□EUH</w:t>
            </w:r>
            <w:r w:rsidRPr="34F15EB1">
              <w:rPr>
                <w:rFonts w:ascii="Arial" w:hAnsi="Arial" w:cs="Arial"/>
              </w:rPr>
              <w:t xml:space="preserve">    </w:t>
            </w:r>
            <w:r w:rsidRPr="34F15EB1">
              <w:rPr>
                <w:rFonts w:ascii="Arial" w:hAnsi="Arial" w:cs="Arial"/>
                <w:b/>
                <w:bCs/>
              </w:rPr>
              <w:t>□</w:t>
            </w:r>
            <w:r w:rsidRPr="34F15EB1">
              <w:rPr>
                <w:rFonts w:ascii="Arial" w:hAnsi="Arial" w:cs="Arial"/>
              </w:rPr>
              <w:t>EUOSH    □EWWH    □EUHM    □EJCH    □ESJH    □TEC    □ESA    □ERH</w:t>
            </w:r>
          </w:p>
        </w:tc>
      </w:tr>
      <w:tr w:rsidR="00A96893" w:rsidRPr="00120DE3" w14:paraId="43743E5E" w14:textId="77777777" w:rsidTr="34F15EB1">
        <w:tc>
          <w:tcPr>
            <w:tcW w:w="5925" w:type="dxa"/>
            <w:tcBorders>
              <w:top w:val="single" w:sz="4" w:space="0" w:color="auto"/>
              <w:bottom w:val="double" w:sz="4" w:space="0" w:color="auto"/>
            </w:tcBorders>
          </w:tcPr>
          <w:p w14:paraId="00673C76" w14:textId="6AF3EDA6" w:rsidR="00A96893" w:rsidRPr="00A96893" w:rsidRDefault="34F15EB1" w:rsidP="34F15EB1">
            <w:pPr>
              <w:spacing w:before="60" w:after="20"/>
              <w:rPr>
                <w:rFonts w:ascii="Arial" w:hAnsi="Arial" w:cs="Arial"/>
              </w:rPr>
            </w:pPr>
            <w:r w:rsidRPr="34F15EB1">
              <w:rPr>
                <w:rFonts w:ascii="Arial" w:hAnsi="Arial" w:cs="Arial"/>
                <w:b/>
                <w:bCs/>
              </w:rPr>
              <w:t>EFFECTIVE DATE:</w:t>
            </w:r>
            <w:r w:rsidRPr="34F15EB1">
              <w:rPr>
                <w:rFonts w:ascii="Arial" w:hAnsi="Arial" w:cs="Arial"/>
              </w:rPr>
              <w:t xml:space="preserve"> </w:t>
            </w:r>
            <w:r w:rsidR="00CF18D5">
              <w:rPr>
                <w:rFonts w:ascii="Arial" w:hAnsi="Arial" w:cs="Arial"/>
              </w:rPr>
              <w:t>5</w:t>
            </w:r>
            <w:r w:rsidR="00BA682A">
              <w:rPr>
                <w:rFonts w:ascii="Arial" w:hAnsi="Arial" w:cs="Arial"/>
              </w:rPr>
              <w:t>/</w:t>
            </w:r>
            <w:r w:rsidR="00CF18D5">
              <w:rPr>
                <w:rFonts w:ascii="Arial" w:hAnsi="Arial" w:cs="Arial"/>
              </w:rPr>
              <w:t>8</w:t>
            </w:r>
            <w:r w:rsidR="00BA682A">
              <w:rPr>
                <w:rFonts w:ascii="Arial" w:hAnsi="Arial" w:cs="Arial"/>
              </w:rPr>
              <w:t>/20</w:t>
            </w:r>
            <w:r w:rsidR="00CF18D5">
              <w:rPr>
                <w:rFonts w:ascii="Arial" w:hAnsi="Arial" w:cs="Arial"/>
              </w:rPr>
              <w:t>19</w:t>
            </w:r>
          </w:p>
        </w:tc>
        <w:tc>
          <w:tcPr>
            <w:tcW w:w="4845" w:type="dxa"/>
            <w:tcBorders>
              <w:top w:val="single" w:sz="4" w:space="0" w:color="auto"/>
              <w:bottom w:val="double" w:sz="4" w:space="0" w:color="auto"/>
            </w:tcBorders>
          </w:tcPr>
          <w:p w14:paraId="13872A73" w14:textId="61DB0773" w:rsidR="00A96893" w:rsidRPr="00A96893" w:rsidRDefault="34F15EB1" w:rsidP="34F15EB1">
            <w:pPr>
              <w:spacing w:before="60" w:after="20"/>
              <w:rPr>
                <w:rFonts w:ascii="Arial" w:hAnsi="Arial" w:cs="Arial"/>
              </w:rPr>
            </w:pPr>
            <w:r w:rsidRPr="34F15EB1">
              <w:rPr>
                <w:rFonts w:ascii="Arial" w:hAnsi="Arial" w:cs="Arial"/>
                <w:b/>
                <w:bCs/>
              </w:rPr>
              <w:t>ORIGINATION DATE:</w:t>
            </w:r>
            <w:r w:rsidRPr="34F15EB1">
              <w:rPr>
                <w:rFonts w:ascii="Arial" w:hAnsi="Arial" w:cs="Arial"/>
              </w:rPr>
              <w:t xml:space="preserve"> </w:t>
            </w:r>
            <w:r w:rsidR="00BA682A">
              <w:rPr>
                <w:rFonts w:ascii="Arial" w:hAnsi="Arial" w:cs="Arial"/>
              </w:rPr>
              <w:t>2/17/2016</w:t>
            </w:r>
          </w:p>
        </w:tc>
      </w:tr>
    </w:tbl>
    <w:p w14:paraId="5D897405" w14:textId="77777777" w:rsidR="00A973EE" w:rsidRPr="00120DE3" w:rsidRDefault="00A973EE" w:rsidP="00D82ADA">
      <w:pPr>
        <w:rPr>
          <w:rFonts w:ascii="Arial" w:hAnsi="Arial" w:cs="Arial"/>
        </w:rPr>
      </w:pPr>
    </w:p>
    <w:p w14:paraId="7D34C7FE" w14:textId="77777777" w:rsidR="00D82ADA" w:rsidRPr="0019168D" w:rsidRDefault="34F15EB1" w:rsidP="34F15EB1">
      <w:pPr>
        <w:rPr>
          <w:rFonts w:ascii="Arial" w:hAnsi="Arial" w:cs="Arial"/>
        </w:rPr>
      </w:pPr>
      <w:r w:rsidRPr="34F15EB1">
        <w:rPr>
          <w:rFonts w:ascii="Arial" w:hAnsi="Arial" w:cs="Arial"/>
          <w:b/>
          <w:bCs/>
          <w:u w:val="single"/>
        </w:rPr>
        <w:t>SCOPE:</w:t>
      </w:r>
      <w:r w:rsidRPr="34F15EB1">
        <w:rPr>
          <w:rFonts w:ascii="Arial" w:hAnsi="Arial" w:cs="Arial"/>
        </w:rPr>
        <w:t xml:space="preserve"> </w:t>
      </w:r>
    </w:p>
    <w:p w14:paraId="6CE955DB" w14:textId="77777777" w:rsidR="00F802BC" w:rsidRDefault="00F802BC" w:rsidP="00D82ADA">
      <w:pPr>
        <w:rPr>
          <w:rFonts w:ascii="Arial" w:hAnsi="Arial" w:cs="Arial"/>
        </w:rPr>
      </w:pPr>
    </w:p>
    <w:p w14:paraId="55C0842B" w14:textId="4C930B12" w:rsidR="00CF18D5" w:rsidRPr="006D0D02" w:rsidRDefault="00CF18D5" w:rsidP="00CF18D5">
      <w:pPr>
        <w:rPr>
          <w:rFonts w:ascii="Arial" w:hAnsi="Arial" w:cs="Arial"/>
        </w:rPr>
      </w:pPr>
      <w:r w:rsidRPr="006D0D02">
        <w:rPr>
          <w:rFonts w:ascii="Arial" w:hAnsi="Arial" w:cs="Arial"/>
        </w:rPr>
        <w:t>Based on the pharmacological traits of direct oral anticoagulants (DOACs) the Emory</w:t>
      </w:r>
    </w:p>
    <w:p w14:paraId="4BD4DB7B" w14:textId="7521F03C" w:rsidR="00CF18D5" w:rsidRPr="006D0D02" w:rsidRDefault="00CF18D5" w:rsidP="00562ED5">
      <w:pPr>
        <w:rPr>
          <w:rFonts w:ascii="Arial" w:hAnsi="Arial" w:cs="Arial"/>
        </w:rPr>
      </w:pPr>
      <w:r w:rsidRPr="006D0D02">
        <w:rPr>
          <w:rFonts w:ascii="Arial" w:hAnsi="Arial" w:cs="Arial"/>
        </w:rPr>
        <w:t xml:space="preserve">Transplant Center will not perform </w:t>
      </w:r>
      <w:r w:rsidR="00562ED5">
        <w:rPr>
          <w:rFonts w:ascii="Arial" w:hAnsi="Arial" w:cs="Arial"/>
        </w:rPr>
        <w:t xml:space="preserve">deceased donor </w:t>
      </w:r>
      <w:r w:rsidRPr="006D0D02">
        <w:rPr>
          <w:rFonts w:ascii="Arial" w:hAnsi="Arial" w:cs="Arial"/>
        </w:rPr>
        <w:t xml:space="preserve">kidney or pancreas transplantation on patients taking DOACs. </w:t>
      </w:r>
      <w:r w:rsidR="001117FB">
        <w:rPr>
          <w:rFonts w:ascii="Arial" w:hAnsi="Arial" w:cs="Arial"/>
        </w:rPr>
        <w:t xml:space="preserve">This includes apixaban (Eliquis®), </w:t>
      </w:r>
      <w:r w:rsidR="007E3F3F">
        <w:rPr>
          <w:rFonts w:ascii="Arial" w:hAnsi="Arial" w:cs="Arial"/>
        </w:rPr>
        <w:t>d</w:t>
      </w:r>
      <w:r w:rsidR="001117FB">
        <w:rPr>
          <w:rFonts w:ascii="Arial" w:hAnsi="Arial" w:cs="Arial"/>
        </w:rPr>
        <w:t xml:space="preserve">abigatran (Pradaxa®), </w:t>
      </w:r>
      <w:r w:rsidR="007E3F3F">
        <w:rPr>
          <w:rFonts w:ascii="Arial" w:hAnsi="Arial" w:cs="Arial"/>
        </w:rPr>
        <w:t>e</w:t>
      </w:r>
      <w:r w:rsidR="001117FB">
        <w:rPr>
          <w:rFonts w:ascii="Arial" w:hAnsi="Arial" w:cs="Arial"/>
        </w:rPr>
        <w:t xml:space="preserve">doxaban (Savaysa®), and </w:t>
      </w:r>
      <w:r w:rsidR="007E3F3F">
        <w:rPr>
          <w:rFonts w:ascii="Arial" w:hAnsi="Arial" w:cs="Arial"/>
        </w:rPr>
        <w:t>r</w:t>
      </w:r>
      <w:r w:rsidR="001117FB">
        <w:rPr>
          <w:rFonts w:ascii="Arial" w:hAnsi="Arial" w:cs="Arial"/>
        </w:rPr>
        <w:t xml:space="preserve">ivaroxaban (Xarelto®).  </w:t>
      </w:r>
      <w:r w:rsidRPr="006D0D02">
        <w:rPr>
          <w:rFonts w:ascii="Arial" w:hAnsi="Arial" w:cs="Arial"/>
        </w:rPr>
        <w:t>While DOACs have FDA approved</w:t>
      </w:r>
      <w:r w:rsidR="00562ED5">
        <w:rPr>
          <w:rFonts w:ascii="Arial" w:hAnsi="Arial" w:cs="Arial"/>
        </w:rPr>
        <w:t xml:space="preserve"> </w:t>
      </w:r>
      <w:r w:rsidR="001D7099">
        <w:rPr>
          <w:rFonts w:ascii="Arial" w:hAnsi="Arial" w:cs="Arial"/>
        </w:rPr>
        <w:t>reversal agents</w:t>
      </w:r>
      <w:r w:rsidRPr="006D0D02">
        <w:rPr>
          <w:rFonts w:ascii="Arial" w:hAnsi="Arial" w:cs="Arial"/>
        </w:rPr>
        <w:t>, preemptive use in the setting of surgical procedures, and subsequent thrombosis risk, is</w:t>
      </w:r>
      <w:r w:rsidR="007E3F3F">
        <w:rPr>
          <w:rFonts w:ascii="Arial" w:hAnsi="Arial" w:cs="Arial"/>
        </w:rPr>
        <w:t xml:space="preserve"> </w:t>
      </w:r>
      <w:r w:rsidRPr="006D0D02">
        <w:rPr>
          <w:rFonts w:ascii="Arial" w:hAnsi="Arial" w:cs="Arial"/>
        </w:rPr>
        <w:t>not well studied. Substantial, irreversible bleeding during surgery introduces a significant risk to the</w:t>
      </w:r>
      <w:r w:rsidR="007E3F3F">
        <w:rPr>
          <w:rFonts w:ascii="Arial" w:hAnsi="Arial" w:cs="Arial"/>
        </w:rPr>
        <w:t xml:space="preserve"> </w:t>
      </w:r>
      <w:r w:rsidRPr="006D0D02">
        <w:rPr>
          <w:rFonts w:ascii="Arial" w:hAnsi="Arial" w:cs="Arial"/>
        </w:rPr>
        <w:t xml:space="preserve">patient. The therapeutic effects of DOACs cannot be monitored with basic laboratory tests. </w:t>
      </w:r>
    </w:p>
    <w:p w14:paraId="2435B4E7" w14:textId="52D62F99" w:rsidR="002A3DF1" w:rsidRDefault="002A3DF1" w:rsidP="008660BA">
      <w:pPr>
        <w:rPr>
          <w:rFonts w:ascii="Arial" w:hAnsi="Arial" w:cs="Arial"/>
          <w:b/>
          <w:bCs/>
          <w:u w:val="single"/>
        </w:rPr>
      </w:pPr>
    </w:p>
    <w:p w14:paraId="7DECEC8D" w14:textId="77777777" w:rsidR="00CF18D5" w:rsidRDefault="00CF18D5" w:rsidP="008660BA">
      <w:pPr>
        <w:rPr>
          <w:rFonts w:ascii="Arial" w:hAnsi="Arial" w:cs="Arial"/>
        </w:rPr>
      </w:pPr>
    </w:p>
    <w:p w14:paraId="66094573" w14:textId="76FA37B2" w:rsidR="00294F16" w:rsidRPr="00294F16" w:rsidRDefault="34F15EB1" w:rsidP="00294F16">
      <w:pPr>
        <w:rPr>
          <w:rFonts w:ascii="Arial" w:hAnsi="Arial" w:cs="Arial"/>
          <w:bCs/>
        </w:rPr>
      </w:pPr>
      <w:r w:rsidRPr="34F15EB1">
        <w:rPr>
          <w:rFonts w:ascii="Arial" w:hAnsi="Arial" w:cs="Arial"/>
          <w:b/>
          <w:bCs/>
          <w:u w:val="single"/>
        </w:rPr>
        <w:t>GUIDELINES</w:t>
      </w:r>
      <w:r w:rsidRPr="00CE4923">
        <w:rPr>
          <w:rFonts w:ascii="Arial" w:hAnsi="Arial" w:cs="Arial"/>
          <w:b/>
          <w:bCs/>
          <w:u w:val="single"/>
        </w:rPr>
        <w:t>:</w:t>
      </w:r>
      <w:r w:rsidRPr="00CE4923">
        <w:rPr>
          <w:rFonts w:ascii="Arial" w:hAnsi="Arial" w:cs="Arial"/>
          <w:u w:val="single"/>
        </w:rPr>
        <w:t xml:space="preserve"> </w:t>
      </w:r>
      <w:r w:rsidRPr="00CE4923">
        <w:rPr>
          <w:rFonts w:ascii="Arial" w:hAnsi="Arial" w:cs="Arial"/>
        </w:rPr>
        <w:t xml:space="preserve"> </w:t>
      </w:r>
    </w:p>
    <w:p w14:paraId="7B6E5698" w14:textId="77777777" w:rsidR="00CE4923" w:rsidRDefault="00CE4923" w:rsidP="00595E18">
      <w:pPr>
        <w:rPr>
          <w:rFonts w:ascii="Arial" w:hAnsi="Arial" w:cs="Arial"/>
        </w:rPr>
      </w:pPr>
    </w:p>
    <w:p w14:paraId="10EA690B" w14:textId="2E64F2AC" w:rsidR="00CF18D5" w:rsidRPr="00CF18D5" w:rsidRDefault="00BA682A" w:rsidP="00CF18D5">
      <w:pPr>
        <w:numPr>
          <w:ilvl w:val="0"/>
          <w:numId w:val="2"/>
        </w:numPr>
        <w:rPr>
          <w:rFonts w:ascii="Arial" w:hAnsi="Arial" w:cs="Arial"/>
          <w:bCs/>
        </w:rPr>
      </w:pPr>
      <w:r w:rsidRPr="00BA682A">
        <w:rPr>
          <w:rFonts w:ascii="Arial" w:hAnsi="Arial" w:cs="Arial"/>
          <w:b/>
          <w:bCs/>
        </w:rPr>
        <w:t>Pre-transplant phase</w:t>
      </w:r>
      <w:r w:rsidRPr="00BA682A">
        <w:rPr>
          <w:rFonts w:ascii="Arial" w:hAnsi="Arial" w:cs="Arial"/>
          <w:bCs/>
        </w:rPr>
        <w:t xml:space="preserve">: </w:t>
      </w:r>
      <w:r w:rsidR="00CF18D5" w:rsidRPr="00CF18D5">
        <w:rPr>
          <w:rFonts w:ascii="Arial" w:hAnsi="Arial" w:cs="Arial"/>
        </w:rPr>
        <w:t>If any team member identifies any evaluation patient taking a</w:t>
      </w:r>
    </w:p>
    <w:p w14:paraId="517D2F30" w14:textId="585E3BDE" w:rsidR="00CF18D5" w:rsidRDefault="00CF18D5" w:rsidP="00CF18D5">
      <w:pPr>
        <w:ind w:left="720"/>
        <w:rPr>
          <w:rFonts w:ascii="Arial" w:hAnsi="Arial" w:cs="Arial"/>
        </w:rPr>
      </w:pPr>
      <w:r w:rsidRPr="006D0D02">
        <w:rPr>
          <w:rFonts w:ascii="Arial" w:hAnsi="Arial" w:cs="Arial"/>
        </w:rPr>
        <w:t>DOAC, they will inform the patient and referring provider that the patient will need to be</w:t>
      </w:r>
      <w:r w:rsidR="007E3F3F">
        <w:rPr>
          <w:rFonts w:ascii="Arial" w:hAnsi="Arial" w:cs="Arial"/>
        </w:rPr>
        <w:t xml:space="preserve"> </w:t>
      </w:r>
      <w:r w:rsidRPr="006D0D02">
        <w:rPr>
          <w:rFonts w:ascii="Arial" w:hAnsi="Arial" w:cs="Arial"/>
        </w:rPr>
        <w:t xml:space="preserve">changed to </w:t>
      </w:r>
      <w:r w:rsidR="001117FB">
        <w:rPr>
          <w:rFonts w:ascii="Arial" w:hAnsi="Arial" w:cs="Arial"/>
        </w:rPr>
        <w:t>warfarin (</w:t>
      </w:r>
      <w:r w:rsidRPr="006D0D02">
        <w:rPr>
          <w:rFonts w:ascii="Arial" w:hAnsi="Arial" w:cs="Arial"/>
        </w:rPr>
        <w:t>Coumadin</w:t>
      </w:r>
      <w:r w:rsidR="001117FB">
        <w:rPr>
          <w:rFonts w:ascii="Arial" w:hAnsi="Arial" w:cs="Arial"/>
        </w:rPr>
        <w:t>®)</w:t>
      </w:r>
      <w:r w:rsidRPr="006D0D02">
        <w:rPr>
          <w:rFonts w:ascii="Arial" w:hAnsi="Arial" w:cs="Arial"/>
        </w:rPr>
        <w:t xml:space="preserve"> in the event the patient is approved for listing</w:t>
      </w:r>
      <w:r w:rsidR="007E3F3F">
        <w:rPr>
          <w:rFonts w:ascii="Arial" w:hAnsi="Arial" w:cs="Arial"/>
        </w:rPr>
        <w:t>, unless the patient has a living donor</w:t>
      </w:r>
      <w:r w:rsidRPr="006D0D02">
        <w:rPr>
          <w:rFonts w:ascii="Arial" w:hAnsi="Arial" w:cs="Arial"/>
        </w:rPr>
        <w:t>. The patient’s</w:t>
      </w:r>
      <w:r w:rsidR="007E3F3F">
        <w:rPr>
          <w:rFonts w:ascii="Arial" w:hAnsi="Arial" w:cs="Arial"/>
        </w:rPr>
        <w:t xml:space="preserve"> </w:t>
      </w:r>
      <w:r w:rsidRPr="006D0D02">
        <w:rPr>
          <w:rFonts w:ascii="Arial" w:hAnsi="Arial" w:cs="Arial"/>
        </w:rPr>
        <w:t>anticoagulation, including facilitating monitoring for a therapeutic INR while taking</w:t>
      </w:r>
      <w:r w:rsidR="007E3F3F">
        <w:rPr>
          <w:rFonts w:ascii="Arial" w:hAnsi="Arial" w:cs="Arial"/>
        </w:rPr>
        <w:t xml:space="preserve"> </w:t>
      </w:r>
      <w:r w:rsidR="001117FB">
        <w:rPr>
          <w:rFonts w:ascii="Arial" w:hAnsi="Arial" w:cs="Arial"/>
        </w:rPr>
        <w:t>warfarin</w:t>
      </w:r>
      <w:r w:rsidRPr="006D0D02">
        <w:rPr>
          <w:rFonts w:ascii="Arial" w:hAnsi="Arial" w:cs="Arial"/>
        </w:rPr>
        <w:t>, will remain the responsibility of the patient’s referring provider or the patient’s</w:t>
      </w:r>
      <w:r w:rsidR="007E3F3F">
        <w:rPr>
          <w:rFonts w:ascii="Arial" w:hAnsi="Arial" w:cs="Arial"/>
        </w:rPr>
        <w:t xml:space="preserve"> </w:t>
      </w:r>
      <w:r w:rsidRPr="006D0D02">
        <w:rPr>
          <w:rFonts w:ascii="Arial" w:hAnsi="Arial" w:cs="Arial"/>
        </w:rPr>
        <w:t>primary care provider.</w:t>
      </w:r>
    </w:p>
    <w:p w14:paraId="7AA7B482" w14:textId="56523DE3" w:rsidR="00CA673A" w:rsidRDefault="00CA673A" w:rsidP="000D7BE5">
      <w:pPr>
        <w:rPr>
          <w:rFonts w:ascii="Arial" w:hAnsi="Arial" w:cs="Arial"/>
        </w:rPr>
      </w:pPr>
    </w:p>
    <w:p w14:paraId="3F731C01" w14:textId="457162A6" w:rsidR="007E3F3F" w:rsidRPr="000D7BE5" w:rsidRDefault="00BA682A" w:rsidP="000D7BE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7BE5">
        <w:rPr>
          <w:rFonts w:ascii="Arial" w:hAnsi="Arial" w:cs="Arial"/>
          <w:b/>
        </w:rPr>
        <w:t xml:space="preserve">Waitlist phase: </w:t>
      </w:r>
      <w:r w:rsidR="00CF18D5" w:rsidRPr="000D7BE5">
        <w:rPr>
          <w:rFonts w:ascii="Arial" w:hAnsi="Arial" w:cs="Arial"/>
        </w:rPr>
        <w:t>If any team member identifies any patient taking a DOAC</w:t>
      </w:r>
      <w:r w:rsidR="007E3F3F" w:rsidRPr="000D7BE5">
        <w:rPr>
          <w:rFonts w:ascii="Arial" w:hAnsi="Arial" w:cs="Arial"/>
        </w:rPr>
        <w:t>,</w:t>
      </w:r>
      <w:r w:rsidR="00CF18D5" w:rsidRPr="000D7BE5">
        <w:rPr>
          <w:rFonts w:ascii="Arial" w:hAnsi="Arial" w:cs="Arial"/>
        </w:rPr>
        <w:t xml:space="preserve"> the patient will</w:t>
      </w:r>
      <w:r w:rsidR="007E3F3F" w:rsidRPr="000D7BE5">
        <w:rPr>
          <w:rFonts w:ascii="Arial" w:hAnsi="Arial" w:cs="Arial"/>
        </w:rPr>
        <w:t xml:space="preserve"> </w:t>
      </w:r>
      <w:r w:rsidR="001117FB" w:rsidRPr="000D7BE5">
        <w:rPr>
          <w:rFonts w:ascii="Arial" w:hAnsi="Arial" w:cs="Arial"/>
        </w:rPr>
        <w:t xml:space="preserve">be </w:t>
      </w:r>
      <w:r w:rsidR="00CF18D5" w:rsidRPr="000D7BE5">
        <w:rPr>
          <w:rFonts w:ascii="Arial" w:hAnsi="Arial" w:cs="Arial"/>
        </w:rPr>
        <w:t>changed to inactive listing. The patient will need to notify the waitlist team and provide</w:t>
      </w:r>
      <w:r w:rsidR="007E3F3F" w:rsidRPr="000D7BE5">
        <w:rPr>
          <w:rFonts w:ascii="Arial" w:hAnsi="Arial" w:cs="Arial"/>
        </w:rPr>
        <w:t xml:space="preserve"> </w:t>
      </w:r>
      <w:r w:rsidR="00CF18D5" w:rsidRPr="000D7BE5">
        <w:rPr>
          <w:rFonts w:ascii="Arial" w:hAnsi="Arial" w:cs="Arial"/>
        </w:rPr>
        <w:t xml:space="preserve">documentation once they have been converted to </w:t>
      </w:r>
      <w:r w:rsidR="001117FB" w:rsidRPr="000D7BE5">
        <w:rPr>
          <w:rFonts w:ascii="Arial" w:hAnsi="Arial" w:cs="Arial"/>
        </w:rPr>
        <w:t>warfarin</w:t>
      </w:r>
      <w:r w:rsidR="00CF18D5" w:rsidRPr="000D7BE5">
        <w:rPr>
          <w:rFonts w:ascii="Arial" w:hAnsi="Arial" w:cs="Arial"/>
        </w:rPr>
        <w:t>, and at that point, the coordinator</w:t>
      </w:r>
      <w:r w:rsidR="007E3F3F" w:rsidRPr="000D7BE5">
        <w:rPr>
          <w:rFonts w:ascii="Arial" w:hAnsi="Arial" w:cs="Arial"/>
        </w:rPr>
        <w:t xml:space="preserve"> w</w:t>
      </w:r>
      <w:r w:rsidR="00CF18D5" w:rsidRPr="000D7BE5">
        <w:rPr>
          <w:rFonts w:ascii="Arial" w:hAnsi="Arial" w:cs="Arial"/>
        </w:rPr>
        <w:t xml:space="preserve">ill change the listing status to active. The patient’s anticoagulation, including facilitating monitoring for a therapeutic INR while taking </w:t>
      </w:r>
      <w:r w:rsidR="001117FB" w:rsidRPr="000D7BE5">
        <w:rPr>
          <w:rFonts w:ascii="Arial" w:hAnsi="Arial" w:cs="Arial"/>
        </w:rPr>
        <w:t>warfarin</w:t>
      </w:r>
      <w:r w:rsidR="00CF18D5" w:rsidRPr="000D7BE5">
        <w:rPr>
          <w:rFonts w:ascii="Arial" w:hAnsi="Arial" w:cs="Arial"/>
        </w:rPr>
        <w:t xml:space="preserve">, will remain the responsibility of the patient’s referring provider or the patient’s primary care provider. </w:t>
      </w:r>
    </w:p>
    <w:p w14:paraId="73196FD7" w14:textId="433803D6" w:rsidR="00BE13CE" w:rsidRDefault="00CF18D5" w:rsidP="000D7BE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D7BE5">
        <w:rPr>
          <w:rFonts w:ascii="Arial" w:hAnsi="Arial" w:cs="Arial"/>
        </w:rPr>
        <w:t>Candidates with a living donor can have their DOAC held prior to their transplantation</w:t>
      </w:r>
      <w:r w:rsidR="00BE13CE">
        <w:rPr>
          <w:rFonts w:ascii="Arial" w:hAnsi="Arial" w:cs="Arial"/>
        </w:rPr>
        <w:t xml:space="preserve"> according to the following recommendations:</w:t>
      </w:r>
    </w:p>
    <w:p w14:paraId="6DDB74A2" w14:textId="77777777" w:rsidR="00BE13CE" w:rsidRDefault="00BE13CE" w:rsidP="000D7BE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Apixaban, Rivaroxaban, or Edoxaban: Hold for 4 days</w:t>
      </w:r>
    </w:p>
    <w:p w14:paraId="1AEB5D7F" w14:textId="1E0C8E33" w:rsidR="00BA682A" w:rsidRDefault="00BE13CE" w:rsidP="000D7BE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Dabigatran: Hold for 6 days</w:t>
      </w:r>
      <w:r w:rsidR="00CF18D5" w:rsidRPr="000D7BE5">
        <w:rPr>
          <w:rFonts w:ascii="Arial" w:hAnsi="Arial" w:cs="Arial"/>
        </w:rPr>
        <w:t xml:space="preserve"> </w:t>
      </w:r>
    </w:p>
    <w:p w14:paraId="06997D88" w14:textId="77777777" w:rsidR="007E3F3F" w:rsidRPr="000D7BE5" w:rsidRDefault="007E3F3F" w:rsidP="000D7BE5">
      <w:pPr>
        <w:pStyle w:val="ListParagraph"/>
        <w:ind w:left="1440"/>
        <w:rPr>
          <w:rFonts w:ascii="Arial" w:hAnsi="Arial" w:cs="Arial"/>
        </w:rPr>
      </w:pPr>
    </w:p>
    <w:p w14:paraId="268D9B44" w14:textId="77777777" w:rsidR="00CF18D5" w:rsidRPr="00CF18D5" w:rsidRDefault="00BA682A" w:rsidP="00CF18D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F18D5">
        <w:rPr>
          <w:rFonts w:ascii="Arial" w:hAnsi="Arial" w:cs="Arial"/>
          <w:b/>
          <w:bCs/>
        </w:rPr>
        <w:t>Transplant phase</w:t>
      </w:r>
      <w:r w:rsidRPr="00CF18D5">
        <w:rPr>
          <w:rFonts w:ascii="Arial" w:hAnsi="Arial" w:cs="Arial"/>
          <w:bCs/>
        </w:rPr>
        <w:t xml:space="preserve">: </w:t>
      </w:r>
      <w:r w:rsidR="00CF18D5" w:rsidRPr="00CF18D5">
        <w:rPr>
          <w:rFonts w:ascii="Arial" w:hAnsi="Arial" w:cs="Arial"/>
        </w:rPr>
        <w:t>If a patient is admitted for a deceased donor kidney/pancreas</w:t>
      </w:r>
    </w:p>
    <w:p w14:paraId="218A3BA6" w14:textId="497F5C81" w:rsidR="00CF18D5" w:rsidRPr="006D0D02" w:rsidRDefault="00CF18D5" w:rsidP="00CF18D5">
      <w:pPr>
        <w:ind w:left="720"/>
        <w:rPr>
          <w:rFonts w:ascii="Arial" w:hAnsi="Arial" w:cs="Arial"/>
        </w:rPr>
      </w:pPr>
      <w:r w:rsidRPr="006D0D02">
        <w:rPr>
          <w:rFonts w:ascii="Arial" w:hAnsi="Arial" w:cs="Arial"/>
        </w:rPr>
        <w:t xml:space="preserve">transplant </w:t>
      </w:r>
      <w:r w:rsidR="001A6A78">
        <w:rPr>
          <w:rFonts w:ascii="Arial" w:hAnsi="Arial" w:cs="Arial"/>
        </w:rPr>
        <w:t>and identified to be actively taking a DOAC</w:t>
      </w:r>
      <w:r w:rsidRPr="006D0D02">
        <w:rPr>
          <w:rFonts w:ascii="Arial" w:hAnsi="Arial" w:cs="Arial"/>
        </w:rPr>
        <w:t>, the patient will be discharged</w:t>
      </w:r>
    </w:p>
    <w:p w14:paraId="4F1F0EC5" w14:textId="5F1EB888" w:rsidR="00CF18D5" w:rsidRPr="006D0D02" w:rsidRDefault="00CF18D5" w:rsidP="00CF18D5">
      <w:pPr>
        <w:ind w:left="720"/>
        <w:rPr>
          <w:rFonts w:ascii="Arial" w:hAnsi="Arial" w:cs="Arial"/>
        </w:rPr>
      </w:pPr>
      <w:r w:rsidRPr="006D0D02">
        <w:rPr>
          <w:rFonts w:ascii="Arial" w:hAnsi="Arial" w:cs="Arial"/>
        </w:rPr>
        <w:t>and the organ offer will pass to the next patient on the waitlist. A Kidney/Pancreas team</w:t>
      </w:r>
    </w:p>
    <w:p w14:paraId="41759269" w14:textId="2B182119" w:rsidR="00CF18D5" w:rsidRPr="006D0D02" w:rsidRDefault="00CF18D5" w:rsidP="00CF18D5">
      <w:pPr>
        <w:ind w:left="720"/>
        <w:rPr>
          <w:rFonts w:ascii="Arial" w:hAnsi="Arial" w:cs="Arial"/>
        </w:rPr>
      </w:pPr>
      <w:r w:rsidRPr="006D0D02">
        <w:rPr>
          <w:rFonts w:ascii="Arial" w:hAnsi="Arial" w:cs="Arial"/>
        </w:rPr>
        <w:t>member</w:t>
      </w:r>
      <w:r>
        <w:rPr>
          <w:rFonts w:ascii="Arial" w:hAnsi="Arial" w:cs="Arial"/>
        </w:rPr>
        <w:t xml:space="preserve"> or coordinator</w:t>
      </w:r>
      <w:r w:rsidRPr="006D0D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change the listing to inactive</w:t>
      </w:r>
      <w:r w:rsidRPr="006D0D02">
        <w:rPr>
          <w:rFonts w:ascii="Arial" w:hAnsi="Arial" w:cs="Arial"/>
        </w:rPr>
        <w:t>. The patient will need to</w:t>
      </w:r>
    </w:p>
    <w:p w14:paraId="567EAA06" w14:textId="77777777" w:rsidR="00CF18D5" w:rsidRPr="006D0D02" w:rsidRDefault="00CF18D5" w:rsidP="00CF18D5">
      <w:pPr>
        <w:ind w:left="720"/>
        <w:rPr>
          <w:rFonts w:ascii="Arial" w:hAnsi="Arial" w:cs="Arial"/>
        </w:rPr>
      </w:pPr>
      <w:r w:rsidRPr="006D0D02">
        <w:rPr>
          <w:rFonts w:ascii="Arial" w:hAnsi="Arial" w:cs="Arial"/>
        </w:rPr>
        <w:t>notify the waitlist team and provide documentation once they have been converted to</w:t>
      </w:r>
    </w:p>
    <w:p w14:paraId="526E8C08" w14:textId="2B6F97E9" w:rsidR="00BA682A" w:rsidRDefault="00CF18D5" w:rsidP="00CF18D5">
      <w:pPr>
        <w:ind w:left="720"/>
        <w:rPr>
          <w:rFonts w:ascii="Arial" w:hAnsi="Arial" w:cs="Arial"/>
        </w:rPr>
      </w:pPr>
      <w:r w:rsidRPr="006D0D02">
        <w:rPr>
          <w:rFonts w:ascii="Arial" w:hAnsi="Arial" w:cs="Arial"/>
        </w:rPr>
        <w:t xml:space="preserve">Coumadin, and at that point, the </w:t>
      </w:r>
      <w:r>
        <w:rPr>
          <w:rFonts w:ascii="Arial" w:hAnsi="Arial" w:cs="Arial"/>
        </w:rPr>
        <w:t>listing status will change to active</w:t>
      </w:r>
      <w:r w:rsidRPr="006D0D02">
        <w:rPr>
          <w:rFonts w:ascii="Arial" w:hAnsi="Arial" w:cs="Arial"/>
        </w:rPr>
        <w:t>. The patient’s anticoagulation,</w:t>
      </w:r>
      <w:r>
        <w:rPr>
          <w:rFonts w:ascii="Arial" w:hAnsi="Arial" w:cs="Arial"/>
        </w:rPr>
        <w:t xml:space="preserve"> </w:t>
      </w:r>
      <w:r w:rsidRPr="006D0D02">
        <w:rPr>
          <w:rFonts w:ascii="Arial" w:hAnsi="Arial" w:cs="Arial"/>
        </w:rPr>
        <w:t xml:space="preserve">including facilitating monitoring for a therapeutic INR while taking </w:t>
      </w:r>
      <w:r w:rsidR="001A6A78">
        <w:rPr>
          <w:rFonts w:ascii="Arial" w:hAnsi="Arial" w:cs="Arial"/>
        </w:rPr>
        <w:t>warfarin</w:t>
      </w:r>
      <w:r w:rsidRPr="006D0D02">
        <w:rPr>
          <w:rFonts w:ascii="Arial" w:hAnsi="Arial" w:cs="Arial"/>
        </w:rPr>
        <w:t xml:space="preserve">, will </w:t>
      </w:r>
      <w:r w:rsidRPr="006D0D02">
        <w:rPr>
          <w:rFonts w:ascii="Arial" w:hAnsi="Arial" w:cs="Arial"/>
        </w:rPr>
        <w:lastRenderedPageBreak/>
        <w:t>remain the</w:t>
      </w:r>
      <w:r>
        <w:rPr>
          <w:rFonts w:ascii="Arial" w:hAnsi="Arial" w:cs="Arial"/>
        </w:rPr>
        <w:t xml:space="preserve"> </w:t>
      </w:r>
      <w:r w:rsidRPr="006D0D02">
        <w:rPr>
          <w:rFonts w:ascii="Arial" w:hAnsi="Arial" w:cs="Arial"/>
        </w:rPr>
        <w:t>responsibility of the patient’s referring provider or the patient’s primary care provider.</w:t>
      </w:r>
    </w:p>
    <w:p w14:paraId="389A187E" w14:textId="00BF814A" w:rsidR="001A6A78" w:rsidRDefault="001A6A78" w:rsidP="000D7BE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a patient was recently taking a DOAC but stopped it at least 4 days prior</w:t>
      </w:r>
      <w:r w:rsidR="00562ED5">
        <w:rPr>
          <w:rFonts w:ascii="Arial" w:hAnsi="Arial" w:cs="Arial"/>
        </w:rPr>
        <w:t xml:space="preserve"> (or 6 days if taking dabigatran)</w:t>
      </w:r>
      <w:r>
        <w:rPr>
          <w:rFonts w:ascii="Arial" w:hAnsi="Arial" w:cs="Arial"/>
        </w:rPr>
        <w:t xml:space="preserve">, the patient can proceed to transplant.  </w:t>
      </w:r>
    </w:p>
    <w:p w14:paraId="638E573C" w14:textId="77777777" w:rsidR="001A6A78" w:rsidRPr="000D7BE5" w:rsidRDefault="001A6A78" w:rsidP="000D7BE5">
      <w:pPr>
        <w:pStyle w:val="ListParagraph"/>
        <w:ind w:left="1440"/>
        <w:rPr>
          <w:rFonts w:ascii="Arial" w:hAnsi="Arial" w:cs="Arial"/>
        </w:rPr>
      </w:pPr>
    </w:p>
    <w:p w14:paraId="7AFC1C4E" w14:textId="678DC0A1" w:rsidR="000E3E62" w:rsidRPr="00CA673A" w:rsidRDefault="00BA682A" w:rsidP="000D7BE5">
      <w:pPr>
        <w:numPr>
          <w:ilvl w:val="0"/>
          <w:numId w:val="2"/>
        </w:numPr>
        <w:rPr>
          <w:rFonts w:ascii="Arial" w:hAnsi="Arial" w:cs="Arial"/>
        </w:rPr>
      </w:pPr>
      <w:r w:rsidRPr="009B2EE6">
        <w:rPr>
          <w:rFonts w:ascii="Arial" w:hAnsi="Arial" w:cs="Arial"/>
          <w:b/>
          <w:bCs/>
        </w:rPr>
        <w:t>P</w:t>
      </w:r>
      <w:r w:rsidRPr="001A6A78">
        <w:rPr>
          <w:rFonts w:ascii="Arial" w:hAnsi="Arial" w:cs="Arial"/>
          <w:b/>
          <w:bCs/>
        </w:rPr>
        <w:t>ost-transplant phase</w:t>
      </w:r>
      <w:r w:rsidRPr="001A6A78">
        <w:rPr>
          <w:rFonts w:ascii="Arial" w:hAnsi="Arial" w:cs="Arial"/>
          <w:bCs/>
        </w:rPr>
        <w:t xml:space="preserve">: </w:t>
      </w:r>
      <w:r w:rsidR="001A6A78" w:rsidRPr="001A6A78">
        <w:rPr>
          <w:rFonts w:ascii="Arial" w:hAnsi="Arial" w:cs="Arial"/>
          <w:bCs/>
        </w:rPr>
        <w:t xml:space="preserve">DOACs can be considered in stable patients based on </w:t>
      </w:r>
      <w:r w:rsidR="007E46C7">
        <w:rPr>
          <w:rFonts w:ascii="Arial" w:hAnsi="Arial" w:cs="Arial"/>
          <w:bCs/>
        </w:rPr>
        <w:t>individual</w:t>
      </w:r>
      <w:r w:rsidR="001A6A78" w:rsidRPr="001A6A78">
        <w:rPr>
          <w:rFonts w:ascii="Arial" w:hAnsi="Arial" w:cs="Arial"/>
          <w:bCs/>
        </w:rPr>
        <w:t xml:space="preserve"> factors, such as renal function</w:t>
      </w:r>
      <w:r w:rsidR="007E46C7">
        <w:rPr>
          <w:rFonts w:ascii="Arial" w:hAnsi="Arial" w:cs="Arial"/>
          <w:bCs/>
        </w:rPr>
        <w:t>, need for procedures (i.e. biopsy)</w:t>
      </w:r>
      <w:r w:rsidR="001A6A78" w:rsidRPr="001A6A78">
        <w:rPr>
          <w:rFonts w:ascii="Arial" w:hAnsi="Arial" w:cs="Arial"/>
          <w:bCs/>
        </w:rPr>
        <w:t xml:space="preserve"> and bleeding/thrombosis risk.</w:t>
      </w:r>
    </w:p>
    <w:p w14:paraId="2CCDA2BA" w14:textId="77777777" w:rsidR="000E3E62" w:rsidRPr="00CA673A" w:rsidRDefault="000E3E62" w:rsidP="000D7BE5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If a patient develops the need for a renal biopsy, anticoagulation or antiplatelet agents should be held according to the following recommendations:</w:t>
      </w:r>
    </w:p>
    <w:tbl>
      <w:tblPr>
        <w:tblStyle w:val="GridTable4-Accent3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4500"/>
      </w:tblGrid>
      <w:tr w:rsidR="00581CF7" w14:paraId="54E36E50" w14:textId="77777777" w:rsidTr="000D7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808080" w:themeFill="background1" w:themeFillShade="80"/>
          </w:tcPr>
          <w:p w14:paraId="1EC9442D" w14:textId="77777777" w:rsidR="00581CF7" w:rsidRDefault="00581CF7" w:rsidP="00A73D8E">
            <w:r>
              <w:t>Agent</w:t>
            </w:r>
          </w:p>
        </w:tc>
        <w:tc>
          <w:tcPr>
            <w:tcW w:w="4500" w:type="dxa"/>
            <w:shd w:val="clear" w:color="auto" w:fill="808080" w:themeFill="background1" w:themeFillShade="80"/>
          </w:tcPr>
          <w:p w14:paraId="2A4930D7" w14:textId="77777777" w:rsidR="00581CF7" w:rsidRDefault="00581CF7" w:rsidP="00A73D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Pre-Procedure Recommendations</w:t>
            </w:r>
          </w:p>
        </w:tc>
      </w:tr>
      <w:tr w:rsidR="00581CF7" w14:paraId="44E2DE87" w14:textId="77777777" w:rsidTr="000D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  <w:gridSpan w:val="2"/>
            <w:shd w:val="clear" w:color="auto" w:fill="BFBFBF" w:themeFill="background1" w:themeFillShade="BF"/>
          </w:tcPr>
          <w:p w14:paraId="340BD478" w14:textId="77777777" w:rsidR="00581CF7" w:rsidRDefault="00581CF7" w:rsidP="00A73D8E">
            <w:pPr>
              <w:rPr>
                <w:b w:val="0"/>
                <w:bCs w:val="0"/>
              </w:rPr>
            </w:pPr>
            <w:r>
              <w:t>Direct Anticoagulant (DOAC)</w:t>
            </w:r>
          </w:p>
        </w:tc>
      </w:tr>
      <w:tr w:rsidR="00581CF7" w14:paraId="333C808F" w14:textId="77777777" w:rsidTr="000D7B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4E7FC034" w14:textId="77777777" w:rsidR="00581CF7" w:rsidRPr="008D5E6E" w:rsidRDefault="00581CF7" w:rsidP="00A73D8E">
            <w:pPr>
              <w:rPr>
                <w:b w:val="0"/>
              </w:rPr>
            </w:pPr>
            <w:r w:rsidRPr="008D5E6E">
              <w:rPr>
                <w:b w:val="0"/>
              </w:rPr>
              <w:t>Apixaban (Eliquis®)</w:t>
            </w:r>
          </w:p>
        </w:tc>
        <w:tc>
          <w:tcPr>
            <w:tcW w:w="4500" w:type="dxa"/>
          </w:tcPr>
          <w:p w14:paraId="15FD5898" w14:textId="77777777" w:rsidR="00581CF7" w:rsidRDefault="00581CF7" w:rsidP="00A73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Hold for 4 days</w:t>
            </w:r>
          </w:p>
        </w:tc>
      </w:tr>
      <w:tr w:rsidR="00581CF7" w14:paraId="52D27E96" w14:textId="77777777" w:rsidTr="000D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31CB069" w14:textId="77777777" w:rsidR="00581CF7" w:rsidRPr="008D5E6E" w:rsidRDefault="00581CF7" w:rsidP="00A73D8E">
            <w:pPr>
              <w:rPr>
                <w:b w:val="0"/>
              </w:rPr>
            </w:pPr>
            <w:r w:rsidRPr="008D5E6E">
              <w:rPr>
                <w:b w:val="0"/>
              </w:rPr>
              <w:t>Dabigatran (Pradaxa®)</w:t>
            </w:r>
          </w:p>
        </w:tc>
        <w:tc>
          <w:tcPr>
            <w:tcW w:w="4500" w:type="dxa"/>
          </w:tcPr>
          <w:p w14:paraId="6EA88A67" w14:textId="77777777" w:rsidR="00581CF7" w:rsidRDefault="00581CF7" w:rsidP="00A73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Hold for 6 days</w:t>
            </w:r>
          </w:p>
        </w:tc>
      </w:tr>
      <w:tr w:rsidR="00581CF7" w14:paraId="18AA2219" w14:textId="77777777" w:rsidTr="000D7B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04F335B" w14:textId="77777777" w:rsidR="00581CF7" w:rsidRPr="008D5E6E" w:rsidRDefault="00581CF7" w:rsidP="00A73D8E">
            <w:pPr>
              <w:rPr>
                <w:b w:val="0"/>
              </w:rPr>
            </w:pPr>
            <w:r w:rsidRPr="008D5E6E">
              <w:rPr>
                <w:b w:val="0"/>
              </w:rPr>
              <w:t>Edoxaban (Savaysa®)</w:t>
            </w:r>
          </w:p>
        </w:tc>
        <w:tc>
          <w:tcPr>
            <w:tcW w:w="4500" w:type="dxa"/>
          </w:tcPr>
          <w:p w14:paraId="2972155C" w14:textId="77777777" w:rsidR="00581CF7" w:rsidRDefault="00581CF7" w:rsidP="00A73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Hold for 4 days</w:t>
            </w:r>
          </w:p>
        </w:tc>
      </w:tr>
      <w:tr w:rsidR="00581CF7" w14:paraId="5E1F0C72" w14:textId="77777777" w:rsidTr="000D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1EACAFC" w14:textId="77777777" w:rsidR="00581CF7" w:rsidRPr="008D5E6E" w:rsidRDefault="00581CF7" w:rsidP="00A73D8E">
            <w:pPr>
              <w:rPr>
                <w:b w:val="0"/>
              </w:rPr>
            </w:pPr>
            <w:r w:rsidRPr="008D5E6E">
              <w:rPr>
                <w:b w:val="0"/>
              </w:rPr>
              <w:t>Rivaroxaban (Xarelto®)</w:t>
            </w:r>
          </w:p>
        </w:tc>
        <w:tc>
          <w:tcPr>
            <w:tcW w:w="4500" w:type="dxa"/>
          </w:tcPr>
          <w:p w14:paraId="3779FE56" w14:textId="77777777" w:rsidR="00581CF7" w:rsidRDefault="00581CF7" w:rsidP="00A73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Hold for 4 days</w:t>
            </w:r>
          </w:p>
        </w:tc>
      </w:tr>
      <w:tr w:rsidR="00581CF7" w14:paraId="2F812DB2" w14:textId="77777777" w:rsidTr="000D7B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  <w:gridSpan w:val="2"/>
            <w:shd w:val="clear" w:color="auto" w:fill="BFBFBF" w:themeFill="background1" w:themeFillShade="BF"/>
          </w:tcPr>
          <w:p w14:paraId="682D5E22" w14:textId="77777777" w:rsidR="00581CF7" w:rsidRDefault="00581CF7" w:rsidP="00A73D8E">
            <w:pPr>
              <w:rPr>
                <w:b w:val="0"/>
                <w:bCs w:val="0"/>
              </w:rPr>
            </w:pPr>
            <w:r w:rsidRPr="008D5E6E">
              <w:t>Vitamin K Antagonist</w:t>
            </w:r>
          </w:p>
        </w:tc>
      </w:tr>
      <w:tr w:rsidR="00581CF7" w14:paraId="32965884" w14:textId="77777777" w:rsidTr="000D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9C2DC5C" w14:textId="77777777" w:rsidR="00581CF7" w:rsidRPr="008D5E6E" w:rsidRDefault="00581CF7" w:rsidP="00A73D8E">
            <w:pPr>
              <w:rPr>
                <w:b w:val="0"/>
              </w:rPr>
            </w:pPr>
            <w:r w:rsidRPr="008D5E6E">
              <w:rPr>
                <w:b w:val="0"/>
              </w:rPr>
              <w:t>Warfarin (Coumadin®)</w:t>
            </w:r>
          </w:p>
        </w:tc>
        <w:tc>
          <w:tcPr>
            <w:tcW w:w="4500" w:type="dxa"/>
          </w:tcPr>
          <w:p w14:paraId="138C6EF8" w14:textId="39A24534" w:rsidR="00581CF7" w:rsidRDefault="00581CF7" w:rsidP="00A73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Goal INR &lt; 1.5</w:t>
            </w:r>
            <w:r w:rsidR="00061C8B">
              <w:t xml:space="preserve"> </w:t>
            </w:r>
            <w:r w:rsidR="001D7099">
              <w:t>*bridging may be warranted</w:t>
            </w:r>
          </w:p>
          <w:p w14:paraId="0D89E6C1" w14:textId="77777777" w:rsidR="00581CF7" w:rsidRDefault="00581CF7" w:rsidP="00A73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INR &lt; 3: Hold for 5 days</w:t>
            </w:r>
          </w:p>
          <w:p w14:paraId="7E66389A" w14:textId="77777777" w:rsidR="00581CF7" w:rsidRDefault="00581CF7" w:rsidP="00A73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INR ≥ 3: Hold for 7 days</w:t>
            </w:r>
          </w:p>
        </w:tc>
      </w:tr>
      <w:tr w:rsidR="00581CF7" w14:paraId="2E14053A" w14:textId="77777777" w:rsidTr="000D7B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  <w:gridSpan w:val="2"/>
            <w:shd w:val="clear" w:color="auto" w:fill="BFBFBF" w:themeFill="background1" w:themeFillShade="BF"/>
          </w:tcPr>
          <w:p w14:paraId="4CCEA16F" w14:textId="77777777" w:rsidR="00581CF7" w:rsidRDefault="00581CF7" w:rsidP="00A73D8E">
            <w:pPr>
              <w:rPr>
                <w:b w:val="0"/>
                <w:bCs w:val="0"/>
              </w:rPr>
            </w:pPr>
            <w:r w:rsidRPr="008D5E6E">
              <w:t>Antiplatelet Agents</w:t>
            </w:r>
          </w:p>
        </w:tc>
      </w:tr>
      <w:tr w:rsidR="00581CF7" w14:paraId="3FD65A11" w14:textId="77777777" w:rsidTr="000D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1195D1C" w14:textId="77777777" w:rsidR="00581CF7" w:rsidRPr="008D5E6E" w:rsidRDefault="00581CF7" w:rsidP="00A73D8E">
            <w:pPr>
              <w:rPr>
                <w:b w:val="0"/>
              </w:rPr>
            </w:pPr>
            <w:r w:rsidRPr="008D5E6E">
              <w:rPr>
                <w:b w:val="0"/>
              </w:rPr>
              <w:t>Aspirin</w:t>
            </w:r>
          </w:p>
        </w:tc>
        <w:tc>
          <w:tcPr>
            <w:tcW w:w="4500" w:type="dxa"/>
          </w:tcPr>
          <w:p w14:paraId="5515C93F" w14:textId="4423CC4F" w:rsidR="00581CF7" w:rsidRDefault="00581CF7" w:rsidP="000D7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Hold </w:t>
            </w:r>
            <w:r w:rsidR="001103D7">
              <w:t>at least 24 hours *anti-platelet effect may last 5 days</w:t>
            </w:r>
          </w:p>
        </w:tc>
      </w:tr>
      <w:tr w:rsidR="00581CF7" w14:paraId="39175637" w14:textId="77777777" w:rsidTr="000D7B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1D4A1266" w14:textId="77777777" w:rsidR="00581CF7" w:rsidRPr="008D5E6E" w:rsidRDefault="00581CF7" w:rsidP="00A73D8E">
            <w:pPr>
              <w:rPr>
                <w:b w:val="0"/>
              </w:rPr>
            </w:pPr>
            <w:r w:rsidRPr="008D5E6E">
              <w:rPr>
                <w:b w:val="0"/>
              </w:rPr>
              <w:t>Clopidogrel (Plavix®)</w:t>
            </w:r>
          </w:p>
        </w:tc>
        <w:tc>
          <w:tcPr>
            <w:tcW w:w="4500" w:type="dxa"/>
          </w:tcPr>
          <w:p w14:paraId="3DB08CD3" w14:textId="77777777" w:rsidR="00581CF7" w:rsidRDefault="00581CF7" w:rsidP="00A73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Hold for 5 days</w:t>
            </w:r>
          </w:p>
        </w:tc>
      </w:tr>
      <w:tr w:rsidR="00581CF7" w14:paraId="055986BB" w14:textId="77777777" w:rsidTr="000D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4F535478" w14:textId="77777777" w:rsidR="00581CF7" w:rsidRPr="008D5E6E" w:rsidRDefault="00581CF7" w:rsidP="00A73D8E">
            <w:pPr>
              <w:rPr>
                <w:b w:val="0"/>
              </w:rPr>
            </w:pPr>
            <w:r w:rsidRPr="008D5E6E">
              <w:rPr>
                <w:b w:val="0"/>
              </w:rPr>
              <w:t>Prasugrel (Effient®)</w:t>
            </w:r>
          </w:p>
        </w:tc>
        <w:tc>
          <w:tcPr>
            <w:tcW w:w="4500" w:type="dxa"/>
          </w:tcPr>
          <w:p w14:paraId="4ADC6D4A" w14:textId="77777777" w:rsidR="00581CF7" w:rsidRDefault="00581CF7" w:rsidP="00A73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Hold for 7 days</w:t>
            </w:r>
          </w:p>
        </w:tc>
      </w:tr>
      <w:tr w:rsidR="00581CF7" w14:paraId="1013EC1B" w14:textId="77777777" w:rsidTr="000D7B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692550D" w14:textId="77777777" w:rsidR="00581CF7" w:rsidRPr="008D5E6E" w:rsidRDefault="00581CF7" w:rsidP="00A73D8E">
            <w:pPr>
              <w:rPr>
                <w:b w:val="0"/>
              </w:rPr>
            </w:pPr>
            <w:r w:rsidRPr="008D5E6E">
              <w:rPr>
                <w:b w:val="0"/>
              </w:rPr>
              <w:t>Ticagrelor (Brilinta®)</w:t>
            </w:r>
          </w:p>
        </w:tc>
        <w:tc>
          <w:tcPr>
            <w:tcW w:w="4500" w:type="dxa"/>
          </w:tcPr>
          <w:p w14:paraId="46D5B880" w14:textId="77777777" w:rsidR="00581CF7" w:rsidRDefault="00581CF7" w:rsidP="00A73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Hold for 5 days</w:t>
            </w:r>
          </w:p>
        </w:tc>
      </w:tr>
    </w:tbl>
    <w:p w14:paraId="376B19DD" w14:textId="4C23971A" w:rsidR="00581CF7" w:rsidRPr="00CA673A" w:rsidRDefault="00581CF7" w:rsidP="000D7BE5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Agents can be resumed 24-48 hours after procedure</w:t>
      </w:r>
      <w:r w:rsidR="007E5F81">
        <w:rPr>
          <w:rFonts w:ascii="Arial" w:hAnsi="Arial" w:cs="Arial"/>
          <w:bCs/>
        </w:rPr>
        <w:t xml:space="preserve"> as long as patient is hemodynamically stable.</w:t>
      </w:r>
    </w:p>
    <w:p w14:paraId="68721CA6" w14:textId="67E88BEA" w:rsidR="00763D6A" w:rsidRPr="00CA673A" w:rsidRDefault="000E3E62" w:rsidP="000D7BE5">
      <w:pPr>
        <w:ind w:left="144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 w:rsidR="001A6A78" w:rsidRPr="001A6A78">
        <w:rPr>
          <w:rFonts w:ascii="Arial" w:hAnsi="Arial" w:cs="Arial"/>
          <w:bCs/>
        </w:rPr>
        <w:t xml:space="preserve">  </w:t>
      </w:r>
    </w:p>
    <w:p w14:paraId="169E37DF" w14:textId="77777777" w:rsidR="00BA682A" w:rsidRDefault="00BA682A" w:rsidP="00595E18">
      <w:pPr>
        <w:rPr>
          <w:rFonts w:ascii="Arial" w:hAnsi="Arial" w:cs="Arial"/>
        </w:rPr>
      </w:pPr>
    </w:p>
    <w:p w14:paraId="76DFD161" w14:textId="14D80A92" w:rsidR="00D31825" w:rsidRPr="0019168D" w:rsidRDefault="34F15EB1" w:rsidP="34F15EB1">
      <w:pPr>
        <w:rPr>
          <w:rFonts w:ascii="Arial" w:hAnsi="Arial" w:cs="Arial"/>
        </w:rPr>
      </w:pPr>
      <w:r w:rsidRPr="34F15EB1">
        <w:rPr>
          <w:rFonts w:ascii="Arial" w:hAnsi="Arial" w:cs="Arial"/>
          <w:b/>
          <w:bCs/>
          <w:u w:val="single"/>
        </w:rPr>
        <w:t>RELATED DOCUMENT(S)/LINK(S):</w:t>
      </w:r>
    </w:p>
    <w:p w14:paraId="03707B9D" w14:textId="77777777" w:rsidR="0019168D" w:rsidRDefault="0019168D" w:rsidP="00D82ADA">
      <w:pPr>
        <w:rPr>
          <w:rFonts w:ascii="Arial" w:hAnsi="Arial" w:cs="Arial"/>
        </w:rPr>
      </w:pPr>
    </w:p>
    <w:p w14:paraId="58D2A029" w14:textId="77777777" w:rsidR="00F802BC" w:rsidRPr="00120DE3" w:rsidRDefault="00F802BC" w:rsidP="00D82ADA">
      <w:pPr>
        <w:rPr>
          <w:rFonts w:ascii="Arial" w:hAnsi="Arial" w:cs="Arial"/>
        </w:rPr>
      </w:pPr>
    </w:p>
    <w:p w14:paraId="235733F1" w14:textId="77777777" w:rsidR="00D82ADA" w:rsidRPr="0019168D" w:rsidRDefault="34F15EB1" w:rsidP="34F15EB1">
      <w:pPr>
        <w:rPr>
          <w:rFonts w:ascii="Arial" w:hAnsi="Arial" w:cs="Arial"/>
        </w:rPr>
      </w:pPr>
      <w:r w:rsidRPr="34F15EB1">
        <w:rPr>
          <w:rFonts w:ascii="Arial" w:hAnsi="Arial" w:cs="Arial"/>
          <w:b/>
          <w:bCs/>
          <w:u w:val="single"/>
        </w:rPr>
        <w:t>DEFINITIONS:</w:t>
      </w:r>
      <w:r w:rsidRPr="34F15EB1">
        <w:rPr>
          <w:rFonts w:ascii="Arial" w:hAnsi="Arial" w:cs="Arial"/>
        </w:rPr>
        <w:t xml:space="preserve"> </w:t>
      </w:r>
      <w:r w:rsidRPr="34F15EB1">
        <w:rPr>
          <w:rFonts w:ascii="Arial" w:hAnsi="Arial" w:cs="Arial"/>
          <w:i/>
          <w:iCs/>
        </w:rPr>
        <w:t>(If applicable)</w:t>
      </w:r>
    </w:p>
    <w:p w14:paraId="61345EA7" w14:textId="77777777" w:rsidR="00C05CA7" w:rsidRPr="00120DE3" w:rsidRDefault="00C05CA7" w:rsidP="00D82ADA">
      <w:pPr>
        <w:rPr>
          <w:rFonts w:ascii="Arial" w:hAnsi="Arial" w:cs="Arial"/>
        </w:rPr>
      </w:pPr>
    </w:p>
    <w:p w14:paraId="31201F9C" w14:textId="77777777" w:rsidR="00A973EE" w:rsidRPr="00120DE3" w:rsidRDefault="00A973EE" w:rsidP="00D82ADA">
      <w:pPr>
        <w:rPr>
          <w:rFonts w:ascii="Arial" w:hAnsi="Arial" w:cs="Arial"/>
        </w:rPr>
      </w:pPr>
    </w:p>
    <w:p w14:paraId="38696F93" w14:textId="77777777" w:rsidR="00A973EE" w:rsidRDefault="34F15EB1" w:rsidP="34F15EB1">
      <w:pPr>
        <w:rPr>
          <w:rFonts w:ascii="Arial" w:hAnsi="Arial" w:cs="Arial"/>
          <w:b/>
          <w:bCs/>
          <w:u w:val="single"/>
        </w:rPr>
      </w:pPr>
      <w:r w:rsidRPr="34F15EB1">
        <w:rPr>
          <w:rFonts w:ascii="Arial" w:hAnsi="Arial" w:cs="Arial"/>
          <w:b/>
          <w:bCs/>
          <w:u w:val="single"/>
        </w:rPr>
        <w:t>REFERENCES AND SOURCES OF EVIDENCE:</w:t>
      </w:r>
    </w:p>
    <w:p w14:paraId="3FEA3451" w14:textId="77777777" w:rsidR="00805EE7" w:rsidRDefault="00805EE7" w:rsidP="00D82ADA">
      <w:pPr>
        <w:rPr>
          <w:rFonts w:ascii="Arial" w:hAnsi="Arial" w:cs="Arial"/>
          <w:b/>
          <w:u w:val="single"/>
        </w:rPr>
      </w:pPr>
    </w:p>
    <w:p w14:paraId="15F84683" w14:textId="3790D4A7" w:rsidR="000D7BE5" w:rsidRDefault="000D7BE5" w:rsidP="000D7BE5">
      <w:pPr>
        <w:rPr>
          <w:rFonts w:ascii="Arial" w:hAnsi="Arial" w:cs="Arial"/>
        </w:rPr>
      </w:pPr>
      <w:r w:rsidRPr="000D7BE5">
        <w:rPr>
          <w:rFonts w:ascii="Arial" w:hAnsi="Arial" w:cs="Arial"/>
        </w:rPr>
        <w:t>Doherty JU, Gluckman TJ, Hucker WJ, Januzzi Jr. JL,</w:t>
      </w:r>
      <w:r>
        <w:rPr>
          <w:rFonts w:ascii="Arial" w:hAnsi="Arial" w:cs="Arial"/>
        </w:rPr>
        <w:t xml:space="preserve"> </w:t>
      </w:r>
      <w:r w:rsidRPr="000D7BE5">
        <w:rPr>
          <w:rFonts w:ascii="Arial" w:hAnsi="Arial" w:cs="Arial"/>
        </w:rPr>
        <w:t xml:space="preserve">Ortel TL, Saxonhouse SJ, Spinler SA. 2017 ACC expert consensus decision pathway for periprocedural management of anticoagulation in </w:t>
      </w:r>
      <w:r>
        <w:rPr>
          <w:rFonts w:ascii="Arial" w:hAnsi="Arial" w:cs="Arial"/>
        </w:rPr>
        <w:t>p</w:t>
      </w:r>
      <w:r w:rsidRPr="000D7BE5">
        <w:rPr>
          <w:rFonts w:ascii="Arial" w:hAnsi="Arial" w:cs="Arial"/>
        </w:rPr>
        <w:t>atients with</w:t>
      </w:r>
      <w:r>
        <w:rPr>
          <w:rFonts w:ascii="Arial" w:hAnsi="Arial" w:cs="Arial"/>
        </w:rPr>
        <w:t xml:space="preserve"> </w:t>
      </w:r>
      <w:r w:rsidRPr="000D7BE5">
        <w:rPr>
          <w:rFonts w:ascii="Arial" w:hAnsi="Arial" w:cs="Arial"/>
        </w:rPr>
        <w:t>nonvalvular atrial fibrillation. J Am Coll Cardiol 2017;69:871–98.</w:t>
      </w:r>
    </w:p>
    <w:p w14:paraId="0E85D752" w14:textId="77777777" w:rsidR="00C830B7" w:rsidRDefault="00C830B7" w:rsidP="000D7BE5">
      <w:pPr>
        <w:rPr>
          <w:rFonts w:ascii="Arial" w:hAnsi="Arial" w:cs="Arial"/>
        </w:rPr>
      </w:pPr>
    </w:p>
    <w:p w14:paraId="3FA22DC5" w14:textId="5DF61337" w:rsidR="00C830B7" w:rsidRPr="00C830B7" w:rsidRDefault="00C830B7" w:rsidP="000D7B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Dubois V, Dincq AS, Douxfils J, Ickx B, Samama CM, Dogné JM, Gourdin M, Chatelain B, Mullier F, Lessire S.  Perioperative management of patients on direct oral anticoagulants.  </w:t>
      </w:r>
      <w:r>
        <w:rPr>
          <w:rFonts w:ascii="Arial" w:hAnsi="Arial" w:cs="Arial"/>
          <w:i/>
        </w:rPr>
        <w:t>Thrombosis Journal</w:t>
      </w:r>
      <w:r>
        <w:rPr>
          <w:rFonts w:ascii="Arial" w:hAnsi="Arial" w:cs="Arial"/>
        </w:rPr>
        <w:t>.  2017;15(14):1-17.</w:t>
      </w:r>
      <w:bookmarkStart w:id="0" w:name="_GoBack"/>
      <w:bookmarkEnd w:id="0"/>
    </w:p>
    <w:p w14:paraId="0D03971B" w14:textId="77777777" w:rsidR="000D7BE5" w:rsidRDefault="000D7BE5" w:rsidP="00D82ADA">
      <w:pPr>
        <w:rPr>
          <w:rFonts w:ascii="Arial" w:hAnsi="Arial" w:cs="Arial"/>
        </w:rPr>
      </w:pPr>
    </w:p>
    <w:p w14:paraId="380542BB" w14:textId="370D5442" w:rsidR="000D7BE5" w:rsidRDefault="000D7BE5" w:rsidP="00D82AD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Patel IJ, Rahim S, Davidson JC, Hanks SE, Tam AL, Walker G, Wilkins LR, Sarode R, Weinberg I.  Management of thrombotic and bleeding risk in patients undergoing percutaneous image-guided interventions – Part II: Recommendations.  </w:t>
      </w:r>
      <w:r>
        <w:rPr>
          <w:rFonts w:ascii="Arial" w:hAnsi="Arial" w:cs="Arial"/>
          <w:i/>
        </w:rPr>
        <w:t>J Vasc Interv Radiol</w:t>
      </w:r>
      <w:r>
        <w:rPr>
          <w:rFonts w:ascii="Arial" w:hAnsi="Arial" w:cs="Arial"/>
        </w:rPr>
        <w:t>.  2019;24:641-645.</w:t>
      </w:r>
    </w:p>
    <w:p w14:paraId="4A3AE03C" w14:textId="77777777" w:rsidR="000D7BE5" w:rsidRDefault="000D7BE5" w:rsidP="00D82ADA">
      <w:pPr>
        <w:rPr>
          <w:rFonts w:ascii="Arial" w:hAnsi="Arial" w:cs="Arial"/>
        </w:rPr>
      </w:pPr>
    </w:p>
    <w:p w14:paraId="4FB94845" w14:textId="513E6A5D" w:rsidR="000D7BE5" w:rsidRPr="000D7BE5" w:rsidRDefault="000D7BE5" w:rsidP="000D7BE5">
      <w:pPr>
        <w:rPr>
          <w:rFonts w:ascii="Arial" w:hAnsi="Arial" w:cs="Arial"/>
        </w:rPr>
      </w:pPr>
      <w:r w:rsidRPr="000D7BE5">
        <w:rPr>
          <w:rFonts w:ascii="Arial" w:hAnsi="Arial" w:cs="Arial"/>
        </w:rPr>
        <w:t>Sunkara et al. Perioperative Management of Direct Oral Anticoagulants</w:t>
      </w:r>
      <w:r>
        <w:rPr>
          <w:rFonts w:ascii="Arial" w:hAnsi="Arial" w:cs="Arial"/>
        </w:rPr>
        <w:t xml:space="preserve"> </w:t>
      </w:r>
      <w:r w:rsidRPr="000D7BE5">
        <w:rPr>
          <w:rFonts w:ascii="Arial" w:hAnsi="Arial" w:cs="Arial"/>
        </w:rPr>
        <w:t>(DOAC s): A Systemic Review. Health Services Insights 2016:9(S1) 25–36</w:t>
      </w:r>
      <w:r>
        <w:rPr>
          <w:rFonts w:ascii="Arial" w:hAnsi="Arial" w:cs="Arial"/>
        </w:rPr>
        <w:t>.</w:t>
      </w:r>
    </w:p>
    <w:p w14:paraId="74107FD7" w14:textId="77777777" w:rsidR="000D7BE5" w:rsidRDefault="000D7BE5" w:rsidP="00D82ADA">
      <w:pPr>
        <w:rPr>
          <w:rFonts w:ascii="Arial" w:hAnsi="Arial" w:cs="Arial"/>
        </w:rPr>
      </w:pPr>
    </w:p>
    <w:p w14:paraId="2AB9B885" w14:textId="42C8420D" w:rsidR="00BA682A" w:rsidRPr="00763E67" w:rsidRDefault="00BA682A" w:rsidP="00D82ADA">
      <w:pPr>
        <w:rPr>
          <w:rFonts w:ascii="Arial" w:hAnsi="Arial" w:cs="Arial"/>
        </w:rPr>
      </w:pPr>
      <w:r w:rsidRPr="00763E67">
        <w:rPr>
          <w:rFonts w:ascii="Arial" w:hAnsi="Arial" w:cs="Arial"/>
        </w:rPr>
        <w:t>https://www.uptodate.com/contents/perioperative-management-of-patients-receiving-anticoagulants</w:t>
      </w:r>
    </w:p>
    <w:p w14:paraId="06EEBEB0" w14:textId="77777777" w:rsidR="0019168D" w:rsidRPr="00763E67" w:rsidRDefault="0019168D" w:rsidP="00D82ADA">
      <w:pPr>
        <w:rPr>
          <w:rFonts w:ascii="Arial" w:hAnsi="Arial" w:cs="Arial"/>
        </w:rPr>
      </w:pPr>
    </w:p>
    <w:p w14:paraId="7C55D794" w14:textId="5AB8C560" w:rsidR="004E4C9E" w:rsidRDefault="00C830B7" w:rsidP="00D82ADA">
      <w:pPr>
        <w:rPr>
          <w:rFonts w:ascii="Arial" w:hAnsi="Arial" w:cs="Arial"/>
        </w:rPr>
      </w:pPr>
      <w:hyperlink r:id="rId7" w:history="1">
        <w:r w:rsidR="00BA5A0F" w:rsidRPr="003C4AC2">
          <w:rPr>
            <w:rStyle w:val="Hyperlink"/>
            <w:rFonts w:ascii="Arial" w:hAnsi="Arial" w:cs="Arial"/>
          </w:rPr>
          <w:t>https://www.ncbi.nlm.nih.gov/pmc/articles/PMC5490493/pdf/nihms863656.pdf</w:t>
        </w:r>
      </w:hyperlink>
    </w:p>
    <w:p w14:paraId="19ACB8DF" w14:textId="77777777" w:rsidR="00BA5A0F" w:rsidRDefault="00BA5A0F" w:rsidP="00D82ADA">
      <w:pPr>
        <w:rPr>
          <w:rFonts w:ascii="Arial" w:hAnsi="Arial" w:cs="Arial"/>
        </w:rPr>
      </w:pPr>
    </w:p>
    <w:p w14:paraId="7D78E47E" w14:textId="57449B6E" w:rsidR="00BA5A0F" w:rsidRDefault="00C830B7" w:rsidP="00D82ADA">
      <w:pPr>
        <w:rPr>
          <w:rFonts w:ascii="Arial" w:hAnsi="Arial" w:cs="Arial"/>
        </w:rPr>
      </w:pPr>
      <w:hyperlink r:id="rId8" w:history="1">
        <w:r w:rsidR="00BA5A0F" w:rsidRPr="003C4AC2">
          <w:rPr>
            <w:rStyle w:val="Hyperlink"/>
            <w:rFonts w:ascii="Arial" w:hAnsi="Arial" w:cs="Arial"/>
          </w:rPr>
          <w:t>https://www.ncbi.nlm.nih.gov/pmc/articles/PMC5490493/</w:t>
        </w:r>
      </w:hyperlink>
    </w:p>
    <w:p w14:paraId="7644D589" w14:textId="77777777" w:rsidR="00BA5A0F" w:rsidRPr="00763E67" w:rsidRDefault="00BA5A0F" w:rsidP="00D82ADA">
      <w:pPr>
        <w:rPr>
          <w:rFonts w:ascii="Arial" w:hAnsi="Arial" w:cs="Arial"/>
        </w:rPr>
      </w:pPr>
    </w:p>
    <w:p w14:paraId="10161D50" w14:textId="77777777" w:rsidR="005E39CF" w:rsidRDefault="005E39CF" w:rsidP="00D82ADA">
      <w:pPr>
        <w:rPr>
          <w:rFonts w:ascii="Arial" w:hAnsi="Arial" w:cs="Arial"/>
        </w:rPr>
      </w:pPr>
    </w:p>
    <w:p w14:paraId="3DC11A27" w14:textId="779118A5" w:rsidR="006D0D02" w:rsidRPr="00CF18D5" w:rsidRDefault="34F15EB1" w:rsidP="006D0D02">
      <w:pPr>
        <w:rPr>
          <w:rFonts w:ascii="Arial" w:hAnsi="Arial" w:cs="Arial"/>
          <w:b/>
          <w:bCs/>
          <w:u w:val="single"/>
        </w:rPr>
      </w:pPr>
      <w:r w:rsidRPr="34F15EB1">
        <w:rPr>
          <w:rFonts w:ascii="Arial" w:hAnsi="Arial" w:cs="Arial"/>
          <w:b/>
          <w:bCs/>
          <w:u w:val="single"/>
        </w:rPr>
        <w:t>KEY WORDS:</w:t>
      </w:r>
      <w:r w:rsidR="00CF18D5">
        <w:rPr>
          <w:rFonts w:ascii="Arial" w:hAnsi="Arial" w:cs="Arial"/>
          <w:b/>
          <w:bCs/>
          <w:u w:val="single"/>
        </w:rPr>
        <w:t xml:space="preserve"> Anticoagulants, DOAC</w:t>
      </w:r>
    </w:p>
    <w:sectPr w:rsidR="006D0D02" w:rsidRPr="00CF18D5" w:rsidSect="00D82AD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4A511C" w16cid:durableId="25A4C5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47D29" w14:textId="77777777" w:rsidR="006F1FB1" w:rsidRDefault="006F1FB1" w:rsidP="00401E3E">
      <w:r>
        <w:separator/>
      </w:r>
    </w:p>
  </w:endnote>
  <w:endnote w:type="continuationSeparator" w:id="0">
    <w:p w14:paraId="349FAE75" w14:textId="77777777" w:rsidR="006F1FB1" w:rsidRDefault="006F1FB1" w:rsidP="0040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FD587" w14:textId="77777777" w:rsidR="00401E3E" w:rsidRPr="00246CC9" w:rsidRDefault="00120DE3" w:rsidP="34F15EB1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  <w:r w:rsidRPr="00246CC9">
      <w:rPr>
        <w:rFonts w:ascii="Arial" w:hAnsi="Arial" w:cs="Arial"/>
        <w:sz w:val="16"/>
        <w:szCs w:val="16"/>
      </w:rPr>
      <w:t>P</w:t>
    </w:r>
    <w:r w:rsidR="00611775">
      <w:rPr>
        <w:rFonts w:ascii="Arial" w:hAnsi="Arial" w:cs="Arial"/>
        <w:sz w:val="16"/>
        <w:szCs w:val="16"/>
      </w:rPr>
      <w:t>ROCEDURE</w:t>
    </w:r>
    <w:r w:rsidR="001E3490">
      <w:rPr>
        <w:rFonts w:ascii="Arial" w:hAnsi="Arial" w:cs="Arial"/>
        <w:sz w:val="16"/>
        <w:szCs w:val="16"/>
      </w:rPr>
      <w:t>/GUIDELINE</w:t>
    </w:r>
    <w:r w:rsidRPr="00246CC9">
      <w:rPr>
        <w:rFonts w:ascii="Arial" w:hAnsi="Arial" w:cs="Arial"/>
        <w:sz w:val="16"/>
        <w:szCs w:val="16"/>
      </w:rPr>
      <w:t xml:space="preserve"> TITLE</w:t>
    </w:r>
    <w:r w:rsidRPr="00246CC9">
      <w:rPr>
        <w:rFonts w:ascii="Arial" w:hAnsi="Arial" w:cs="Arial"/>
        <w:sz w:val="16"/>
        <w:szCs w:val="16"/>
      </w:rPr>
      <w:tab/>
    </w:r>
    <w:r w:rsidR="00246CC9" w:rsidRPr="34F15EB1">
      <w:rPr>
        <w:rFonts w:ascii="Arial" w:hAnsi="Arial" w:cs="Arial"/>
        <w:noProof/>
        <w:sz w:val="16"/>
        <w:szCs w:val="16"/>
      </w:rPr>
      <w:fldChar w:fldCharType="begin"/>
    </w:r>
    <w:r w:rsidR="00246CC9" w:rsidRPr="00246CC9">
      <w:rPr>
        <w:rFonts w:ascii="Arial" w:hAnsi="Arial" w:cs="Arial"/>
        <w:sz w:val="16"/>
      </w:rPr>
      <w:instrText xml:space="preserve"> PAGE  \* MERGEFORMAT </w:instrText>
    </w:r>
    <w:r w:rsidR="00246CC9" w:rsidRPr="34F15EB1">
      <w:rPr>
        <w:rFonts w:ascii="Arial" w:hAnsi="Arial" w:cs="Arial"/>
        <w:sz w:val="16"/>
      </w:rPr>
      <w:fldChar w:fldCharType="separate"/>
    </w:r>
    <w:r w:rsidR="00C830B7" w:rsidRPr="00C830B7">
      <w:rPr>
        <w:rFonts w:ascii="Arial" w:hAnsi="Arial" w:cs="Arial"/>
        <w:noProof/>
        <w:sz w:val="16"/>
        <w:szCs w:val="16"/>
      </w:rPr>
      <w:t>3</w:t>
    </w:r>
    <w:r w:rsidR="00246CC9" w:rsidRPr="34F15EB1">
      <w:rPr>
        <w:rFonts w:ascii="Arial" w:hAnsi="Arial" w:cs="Arial"/>
        <w:noProof/>
        <w:sz w:val="16"/>
        <w:szCs w:val="16"/>
      </w:rPr>
      <w:fldChar w:fldCharType="end"/>
    </w:r>
    <w:r w:rsidR="00246CC9" w:rsidRPr="34F15EB1">
      <w:rPr>
        <w:rFonts w:ascii="Arial" w:hAnsi="Arial" w:cs="Arial"/>
        <w:sz w:val="16"/>
        <w:szCs w:val="16"/>
      </w:rPr>
      <w:t xml:space="preserve"> of </w:t>
    </w:r>
    <w:r w:rsidR="00246CC9" w:rsidRPr="34F15EB1">
      <w:rPr>
        <w:rFonts w:ascii="Arial" w:hAnsi="Arial" w:cs="Arial"/>
        <w:noProof/>
        <w:sz w:val="16"/>
        <w:szCs w:val="16"/>
      </w:rPr>
      <w:fldChar w:fldCharType="begin"/>
    </w:r>
    <w:r w:rsidR="00246CC9" w:rsidRPr="00246CC9">
      <w:rPr>
        <w:rFonts w:ascii="Arial" w:hAnsi="Arial" w:cs="Arial"/>
        <w:sz w:val="16"/>
      </w:rPr>
      <w:instrText xml:space="preserve"> NUMPAGES  \* MERGEFORMAT </w:instrText>
    </w:r>
    <w:r w:rsidR="00246CC9" w:rsidRPr="34F15EB1">
      <w:rPr>
        <w:rFonts w:ascii="Arial" w:hAnsi="Arial" w:cs="Arial"/>
        <w:sz w:val="16"/>
      </w:rPr>
      <w:fldChar w:fldCharType="separate"/>
    </w:r>
    <w:r w:rsidR="00C830B7" w:rsidRPr="00C830B7">
      <w:rPr>
        <w:rFonts w:ascii="Arial" w:hAnsi="Arial" w:cs="Arial"/>
        <w:noProof/>
        <w:sz w:val="16"/>
        <w:szCs w:val="16"/>
      </w:rPr>
      <w:t>3</w:t>
    </w:r>
    <w:r w:rsidR="00246CC9" w:rsidRPr="34F15EB1">
      <w:rPr>
        <w:rFonts w:ascii="Arial" w:hAnsi="Arial" w:cs="Arial"/>
        <w:noProof/>
        <w:sz w:val="16"/>
        <w:szCs w:val="16"/>
      </w:rPr>
      <w:fldChar w:fldCharType="end"/>
    </w:r>
    <w:r w:rsidR="00611775" w:rsidRPr="34F15EB1">
      <w:rPr>
        <w:rFonts w:ascii="Arial" w:hAnsi="Arial" w:cs="Arial"/>
        <w:sz w:val="16"/>
        <w:szCs w:val="16"/>
      </w:rPr>
      <w:t xml:space="preserve">   v.1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3C16F" w14:textId="77777777" w:rsidR="006F1FB1" w:rsidRDefault="006F1FB1" w:rsidP="00401E3E">
      <w:r>
        <w:separator/>
      </w:r>
    </w:p>
  </w:footnote>
  <w:footnote w:type="continuationSeparator" w:id="0">
    <w:p w14:paraId="5154CCC6" w14:textId="77777777" w:rsidR="006F1FB1" w:rsidRDefault="006F1FB1" w:rsidP="0040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77E94" w14:textId="77777777" w:rsidR="00401E3E" w:rsidRPr="00120DE3" w:rsidRDefault="00401E3E" w:rsidP="00120DE3">
    <w:pPr>
      <w:rPr>
        <w:rFonts w:ascii="Arial" w:hAnsi="Arial" w:cs="Arial"/>
      </w:rPr>
    </w:pPr>
    <w:r w:rsidRPr="00120DE3">
      <w:rPr>
        <w:noProof/>
      </w:rPr>
      <w:drawing>
        <wp:inline distT="0" distB="0" distL="0" distR="0" wp14:anchorId="7948CEF3" wp14:editId="79384C04">
          <wp:extent cx="1286540" cy="4461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756" cy="456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EFEC7A" w14:textId="77777777" w:rsidR="00401E3E" w:rsidRPr="00120DE3" w:rsidRDefault="00401E3E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72D0B"/>
    <w:multiLevelType w:val="hybridMultilevel"/>
    <w:tmpl w:val="2712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86153"/>
    <w:multiLevelType w:val="hybridMultilevel"/>
    <w:tmpl w:val="EB38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DA"/>
    <w:rsid w:val="0005357A"/>
    <w:rsid w:val="00061C8B"/>
    <w:rsid w:val="0006560F"/>
    <w:rsid w:val="0007395E"/>
    <w:rsid w:val="000D7BE5"/>
    <w:rsid w:val="000E3E62"/>
    <w:rsid w:val="001103D7"/>
    <w:rsid w:val="001117FB"/>
    <w:rsid w:val="00120DE3"/>
    <w:rsid w:val="00132810"/>
    <w:rsid w:val="00150BDD"/>
    <w:rsid w:val="0015162F"/>
    <w:rsid w:val="00152742"/>
    <w:rsid w:val="0015735D"/>
    <w:rsid w:val="001644D7"/>
    <w:rsid w:val="0018574A"/>
    <w:rsid w:val="0019168D"/>
    <w:rsid w:val="001921CD"/>
    <w:rsid w:val="001A6A78"/>
    <w:rsid w:val="001C7A16"/>
    <w:rsid w:val="001D7099"/>
    <w:rsid w:val="001E3490"/>
    <w:rsid w:val="001F67AA"/>
    <w:rsid w:val="00233309"/>
    <w:rsid w:val="00246CC9"/>
    <w:rsid w:val="00294F16"/>
    <w:rsid w:val="002A3DF1"/>
    <w:rsid w:val="00346840"/>
    <w:rsid w:val="00372D6B"/>
    <w:rsid w:val="00382155"/>
    <w:rsid w:val="003937C3"/>
    <w:rsid w:val="003A4628"/>
    <w:rsid w:val="003A5698"/>
    <w:rsid w:val="00401E3E"/>
    <w:rsid w:val="004E4C9E"/>
    <w:rsid w:val="00562ED5"/>
    <w:rsid w:val="00570F73"/>
    <w:rsid w:val="00576F37"/>
    <w:rsid w:val="005819A1"/>
    <w:rsid w:val="00581CF7"/>
    <w:rsid w:val="005866C1"/>
    <w:rsid w:val="00595E18"/>
    <w:rsid w:val="005E39CF"/>
    <w:rsid w:val="00611775"/>
    <w:rsid w:val="0069285E"/>
    <w:rsid w:val="006D0D02"/>
    <w:rsid w:val="006F1FB1"/>
    <w:rsid w:val="00734CC6"/>
    <w:rsid w:val="00763D6A"/>
    <w:rsid w:val="00763E67"/>
    <w:rsid w:val="0079159D"/>
    <w:rsid w:val="007C72B5"/>
    <w:rsid w:val="007E3F3F"/>
    <w:rsid w:val="007E46C7"/>
    <w:rsid w:val="007E5F81"/>
    <w:rsid w:val="007F06B0"/>
    <w:rsid w:val="00805EE7"/>
    <w:rsid w:val="00815F69"/>
    <w:rsid w:val="008241EB"/>
    <w:rsid w:val="008660BA"/>
    <w:rsid w:val="008D4A0C"/>
    <w:rsid w:val="00995B4D"/>
    <w:rsid w:val="00996A8F"/>
    <w:rsid w:val="009A04E9"/>
    <w:rsid w:val="009B2EE6"/>
    <w:rsid w:val="009F5419"/>
    <w:rsid w:val="00A03BB9"/>
    <w:rsid w:val="00A16555"/>
    <w:rsid w:val="00A350C5"/>
    <w:rsid w:val="00A67AC2"/>
    <w:rsid w:val="00A71BB9"/>
    <w:rsid w:val="00A96893"/>
    <w:rsid w:val="00A973EE"/>
    <w:rsid w:val="00AA037E"/>
    <w:rsid w:val="00AF56F6"/>
    <w:rsid w:val="00B151A5"/>
    <w:rsid w:val="00B33F1F"/>
    <w:rsid w:val="00BA3C30"/>
    <w:rsid w:val="00BA5A0F"/>
    <w:rsid w:val="00BA682A"/>
    <w:rsid w:val="00BE13CE"/>
    <w:rsid w:val="00BE1C28"/>
    <w:rsid w:val="00C05CA7"/>
    <w:rsid w:val="00C830B7"/>
    <w:rsid w:val="00CA673A"/>
    <w:rsid w:val="00CC5EDC"/>
    <w:rsid w:val="00CD0BC0"/>
    <w:rsid w:val="00CE4923"/>
    <w:rsid w:val="00CE6D90"/>
    <w:rsid w:val="00CF18D5"/>
    <w:rsid w:val="00D31825"/>
    <w:rsid w:val="00D82ADA"/>
    <w:rsid w:val="00D877F7"/>
    <w:rsid w:val="00DB6E7A"/>
    <w:rsid w:val="00E3752C"/>
    <w:rsid w:val="00E80DD7"/>
    <w:rsid w:val="00E97700"/>
    <w:rsid w:val="00EC0A28"/>
    <w:rsid w:val="00F444B1"/>
    <w:rsid w:val="00F7188F"/>
    <w:rsid w:val="00F747D4"/>
    <w:rsid w:val="00F802BC"/>
    <w:rsid w:val="00F9095C"/>
    <w:rsid w:val="00FD45A9"/>
    <w:rsid w:val="34F1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A1BCBED"/>
  <w15:docId w15:val="{88F806DD-367C-474B-B8C6-823B3A54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3E"/>
    <w:rPr>
      <w:sz w:val="24"/>
      <w:szCs w:val="24"/>
    </w:rPr>
  </w:style>
  <w:style w:type="paragraph" w:styleId="BalloonText">
    <w:name w:val="Balloon Text"/>
    <w:basedOn w:val="Normal"/>
    <w:link w:val="BalloonTextChar"/>
    <w:rsid w:val="00073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9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5E1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C7A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7A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7A1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7A16"/>
    <w:rPr>
      <w:b/>
      <w:bCs/>
    </w:rPr>
  </w:style>
  <w:style w:type="character" w:styleId="Hyperlink">
    <w:name w:val="Hyperlink"/>
    <w:basedOn w:val="DefaultParagraphFont"/>
    <w:unhideWhenUsed/>
    <w:rsid w:val="00BA5A0F"/>
    <w:rPr>
      <w:color w:val="0563C1" w:themeColor="hyperlink"/>
      <w:u w:val="single"/>
    </w:rPr>
  </w:style>
  <w:style w:type="table" w:styleId="GridTable4-Accent5">
    <w:name w:val="Grid Table 4 Accent 5"/>
    <w:basedOn w:val="TableNormal"/>
    <w:uiPriority w:val="49"/>
    <w:rsid w:val="00763D6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581CF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549049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5490493/pdf/nihms86365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742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 Toney</dc:creator>
  <cp:lastModifiedBy>Zumbrunnen, Jamie</cp:lastModifiedBy>
  <cp:revision>3</cp:revision>
  <cp:lastPrinted>2022-03-02T20:16:00Z</cp:lastPrinted>
  <dcterms:created xsi:type="dcterms:W3CDTF">2022-03-09T14:53:00Z</dcterms:created>
  <dcterms:modified xsi:type="dcterms:W3CDTF">2022-03-09T18:50:00Z</dcterms:modified>
</cp:coreProperties>
</file>