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C08D0" w14:textId="77777777" w:rsidR="002D4626" w:rsidRPr="00EC2D1E" w:rsidRDefault="002D4626" w:rsidP="002D4626">
      <w:bookmarkStart w:id="0" w:name="_GoBack"/>
      <w:bookmarkEnd w:id="0"/>
      <w:r w:rsidRPr="00EC2D1E">
        <w:rPr>
          <w:bCs/>
          <w:color w:val="000000"/>
        </w:rPr>
        <w:t>Policy: Kidney Post Transplant: Delayed Graft Function protocol</w:t>
      </w:r>
      <w:r w:rsidRPr="00EC2D1E">
        <w:rPr>
          <w:color w:val="000000"/>
        </w:rPr>
        <w:br/>
      </w:r>
      <w:r w:rsidRPr="00EC2D1E">
        <w:rPr>
          <w:color w:val="000000"/>
        </w:rPr>
        <w:br/>
      </w:r>
      <w:r w:rsidRPr="00EC2D1E">
        <w:rPr>
          <w:bCs/>
          <w:color w:val="000080"/>
        </w:rPr>
        <w:t xml:space="preserve">Vision Strategy: </w:t>
      </w:r>
      <w:r w:rsidRPr="00EC2D1E">
        <w:rPr>
          <w:color w:val="000000"/>
        </w:rPr>
        <w:t>Patient Care</w:t>
      </w:r>
      <w:r w:rsidRPr="00EC2D1E">
        <w:rPr>
          <w:color w:val="000000"/>
        </w:rPr>
        <w:br/>
      </w:r>
      <w:r w:rsidRPr="00EC2D1E">
        <w:rPr>
          <w:color w:val="000000"/>
        </w:rPr>
        <w:br/>
      </w:r>
      <w:r w:rsidRPr="00EC2D1E">
        <w:rPr>
          <w:bCs/>
          <w:color w:val="000080"/>
        </w:rPr>
        <w:t xml:space="preserve">Policy Statement: </w:t>
      </w:r>
      <w:r w:rsidRPr="00EC2D1E">
        <w:rPr>
          <w:color w:val="000000"/>
        </w:rPr>
        <w:t xml:space="preserve">The Emory Transplant Center and all the solid organ transplant programs will comply with all applicable federal, state, and local laws, regulations, policies and protocols regarding the management of transplant patients. </w:t>
      </w:r>
      <w:r w:rsidRPr="00EC2D1E">
        <w:rPr>
          <w:color w:val="000000"/>
        </w:rPr>
        <w:br/>
      </w:r>
      <w:r w:rsidRPr="00EC2D1E">
        <w:rPr>
          <w:color w:val="000000"/>
        </w:rPr>
        <w:br/>
      </w:r>
      <w:r w:rsidRPr="00EC2D1E">
        <w:rPr>
          <w:bCs/>
          <w:color w:val="000080"/>
        </w:rPr>
        <w:t xml:space="preserve">Basis: </w:t>
      </w:r>
      <w:r w:rsidRPr="00EC2D1E">
        <w:rPr>
          <w:color w:val="000000"/>
        </w:rPr>
        <w:t>This protocol is necessary for the protection of patients, physicians and staff</w:t>
      </w:r>
      <w:r w:rsidRPr="00EC2D1E">
        <w:rPr>
          <w:color w:val="000000"/>
        </w:rPr>
        <w:br/>
      </w:r>
      <w:r w:rsidRPr="00EC2D1E">
        <w:rPr>
          <w:color w:val="000000"/>
        </w:rPr>
        <w:br/>
      </w:r>
      <w:r w:rsidRPr="00EC2D1E">
        <w:rPr>
          <w:bCs/>
          <w:color w:val="000080"/>
        </w:rPr>
        <w:t xml:space="preserve">Admin Responsibility: </w:t>
      </w:r>
      <w:r w:rsidRPr="00EC2D1E">
        <w:rPr>
          <w:color w:val="000000"/>
        </w:rPr>
        <w:t>All transplant program physicians, practitioners and clinical staff members are responsible for compliance with this clinical protocol.</w:t>
      </w:r>
    </w:p>
    <w:p w14:paraId="05FAFA71" w14:textId="77777777" w:rsidR="00D82ADA" w:rsidRPr="00EC2D1E" w:rsidRDefault="00D82ADA" w:rsidP="00D82ADA"/>
    <w:tbl>
      <w:tblPr>
        <w:tblStyle w:val="TableGrid"/>
        <w:tblpPr w:leftFromText="180" w:rightFromText="180" w:vertAnchor="page" w:horzAnchor="margin" w:tblpY="1742"/>
        <w:tblW w:w="10770" w:type="dxa"/>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925"/>
        <w:gridCol w:w="4845"/>
      </w:tblGrid>
      <w:tr w:rsidR="00576F37" w:rsidRPr="00EC71ED" w14:paraId="5FD2F6B8" w14:textId="77777777" w:rsidTr="00576F37">
        <w:trPr>
          <w:trHeight w:val="702"/>
        </w:trPr>
        <w:tc>
          <w:tcPr>
            <w:tcW w:w="10770" w:type="dxa"/>
            <w:gridSpan w:val="2"/>
            <w:tcBorders>
              <w:bottom w:val="single" w:sz="4" w:space="0" w:color="auto"/>
            </w:tcBorders>
          </w:tcPr>
          <w:p w14:paraId="08668397" w14:textId="77777777" w:rsidR="00576F37" w:rsidRPr="00EC71ED" w:rsidRDefault="00576F37" w:rsidP="00D877F7">
            <w:pPr>
              <w:spacing w:before="60"/>
            </w:pPr>
            <w:r w:rsidRPr="00EC71ED">
              <w:rPr>
                <w:b/>
              </w:rPr>
              <w:t>TITLE:</w:t>
            </w:r>
            <w:r w:rsidRPr="00EC71ED">
              <w:t xml:space="preserve"> </w:t>
            </w:r>
            <w:r w:rsidR="002D4626" w:rsidRPr="00EC71ED">
              <w:rPr>
                <w:b/>
              </w:rPr>
              <w:t>Delayed Graft Function Protocol</w:t>
            </w:r>
          </w:p>
        </w:tc>
      </w:tr>
      <w:tr w:rsidR="00576F37" w:rsidRPr="00EC71ED" w14:paraId="6584DB14" w14:textId="77777777" w:rsidTr="00576F37">
        <w:trPr>
          <w:trHeight w:val="702"/>
        </w:trPr>
        <w:tc>
          <w:tcPr>
            <w:tcW w:w="10770" w:type="dxa"/>
            <w:gridSpan w:val="2"/>
            <w:tcBorders>
              <w:top w:val="single" w:sz="4" w:space="0" w:color="auto"/>
              <w:bottom w:val="single" w:sz="4" w:space="0" w:color="auto"/>
            </w:tcBorders>
          </w:tcPr>
          <w:p w14:paraId="3B4FD9E5" w14:textId="77777777" w:rsidR="00576F37" w:rsidRPr="00EC71ED" w:rsidRDefault="00576F37" w:rsidP="00D877F7">
            <w:pPr>
              <w:spacing w:before="60"/>
            </w:pPr>
            <w:r w:rsidRPr="00EC71ED">
              <w:rPr>
                <w:b/>
              </w:rPr>
              <w:t>APPLICABLE FACILITIES:</w:t>
            </w:r>
            <w:r w:rsidRPr="00EC71ED">
              <w:t xml:space="preserve"> </w:t>
            </w:r>
            <w:r w:rsidR="001F67AA" w:rsidRPr="00EC71ED">
              <w:t>(check</w:t>
            </w:r>
            <w:r w:rsidR="00F444B1" w:rsidRPr="00EC71ED">
              <w:t xml:space="preserve"> all that apply)</w:t>
            </w:r>
          </w:p>
          <w:p w14:paraId="0166F2FF" w14:textId="77777777" w:rsidR="00F444B1" w:rsidRPr="00EC71ED" w:rsidRDefault="001F67AA" w:rsidP="001F67AA">
            <w:pPr>
              <w:spacing w:before="60"/>
              <w:jc w:val="center"/>
            </w:pPr>
            <w:r w:rsidRPr="00EC71ED">
              <w:t>□</w:t>
            </w:r>
            <w:r w:rsidR="00CD0BC0" w:rsidRPr="00EC71ED">
              <w:t xml:space="preserve">EUH </w:t>
            </w:r>
            <w:r w:rsidR="00F444B1" w:rsidRPr="00EC71ED">
              <w:t xml:space="preserve"> </w:t>
            </w:r>
            <w:r w:rsidR="00CD0BC0" w:rsidRPr="00EC71ED">
              <w:t xml:space="preserve">  </w:t>
            </w:r>
            <w:r w:rsidRPr="00EC71ED">
              <w:rPr>
                <w:b/>
              </w:rPr>
              <w:t>□</w:t>
            </w:r>
            <w:r w:rsidR="00CD0BC0" w:rsidRPr="00EC71ED">
              <w:t xml:space="preserve">EUOSH  </w:t>
            </w:r>
            <w:r w:rsidR="00F444B1" w:rsidRPr="00EC71ED">
              <w:t xml:space="preserve"> </w:t>
            </w:r>
            <w:r w:rsidR="00CD0BC0" w:rsidRPr="00EC71ED">
              <w:t xml:space="preserve"> </w:t>
            </w:r>
            <w:r w:rsidRPr="00EC71ED">
              <w:t>□</w:t>
            </w:r>
            <w:r w:rsidR="00CD0BC0" w:rsidRPr="00EC71ED">
              <w:t xml:space="preserve">EWWH </w:t>
            </w:r>
            <w:r w:rsidR="00F444B1" w:rsidRPr="00EC71ED">
              <w:t xml:space="preserve"> </w:t>
            </w:r>
            <w:r w:rsidR="00CD0BC0" w:rsidRPr="00EC71ED">
              <w:t xml:space="preserve">  </w:t>
            </w:r>
            <w:r w:rsidRPr="00EC71ED">
              <w:t>□</w:t>
            </w:r>
            <w:r w:rsidR="00CD0BC0" w:rsidRPr="00EC71ED">
              <w:t xml:space="preserve">EUHM </w:t>
            </w:r>
            <w:r w:rsidR="00F444B1" w:rsidRPr="00EC71ED">
              <w:t xml:space="preserve"> </w:t>
            </w:r>
            <w:r w:rsidR="00CD0BC0" w:rsidRPr="00EC71ED">
              <w:t xml:space="preserve">  </w:t>
            </w:r>
            <w:r w:rsidRPr="00EC71ED">
              <w:t>□</w:t>
            </w:r>
            <w:r w:rsidR="00CD0BC0" w:rsidRPr="00EC71ED">
              <w:t xml:space="preserve">EJCH </w:t>
            </w:r>
            <w:r w:rsidR="00F444B1" w:rsidRPr="00EC71ED">
              <w:t xml:space="preserve"> </w:t>
            </w:r>
            <w:r w:rsidR="00CD0BC0" w:rsidRPr="00EC71ED">
              <w:t xml:space="preserve">  </w:t>
            </w:r>
            <w:r w:rsidRPr="00EC71ED">
              <w:t>□</w:t>
            </w:r>
            <w:r w:rsidR="00CD0BC0" w:rsidRPr="00EC71ED">
              <w:t>ESJH</w:t>
            </w:r>
            <w:r w:rsidR="00F444B1" w:rsidRPr="00EC71ED">
              <w:t xml:space="preserve"> </w:t>
            </w:r>
            <w:r w:rsidR="00CD0BC0" w:rsidRPr="00EC71ED">
              <w:t xml:space="preserve">   </w:t>
            </w:r>
            <w:r w:rsidRPr="00EC71ED">
              <w:t>□</w:t>
            </w:r>
            <w:r w:rsidR="00CD0BC0" w:rsidRPr="00EC71ED">
              <w:t xml:space="preserve">TEC </w:t>
            </w:r>
            <w:r w:rsidR="00F444B1" w:rsidRPr="00EC71ED">
              <w:t xml:space="preserve"> </w:t>
            </w:r>
            <w:r w:rsidR="00CD0BC0" w:rsidRPr="00EC71ED">
              <w:t xml:space="preserve">  </w:t>
            </w:r>
            <w:r w:rsidRPr="00EC71ED">
              <w:t>□</w:t>
            </w:r>
            <w:r w:rsidR="00CD0BC0" w:rsidRPr="00EC71ED">
              <w:t xml:space="preserve">ESA </w:t>
            </w:r>
            <w:r w:rsidR="00F444B1" w:rsidRPr="00EC71ED">
              <w:t xml:space="preserve"> </w:t>
            </w:r>
            <w:r w:rsidR="00CD0BC0" w:rsidRPr="00EC71ED">
              <w:t xml:space="preserve">  </w:t>
            </w:r>
            <w:r w:rsidRPr="00EC71ED">
              <w:t>□</w:t>
            </w:r>
            <w:r w:rsidR="00F444B1" w:rsidRPr="00EC71ED">
              <w:t>ERH</w:t>
            </w:r>
          </w:p>
        </w:tc>
      </w:tr>
      <w:tr w:rsidR="00A96893" w:rsidRPr="00EC71ED" w14:paraId="7BD3F73C" w14:textId="77777777" w:rsidTr="00576F37">
        <w:tc>
          <w:tcPr>
            <w:tcW w:w="5925" w:type="dxa"/>
            <w:tcBorders>
              <w:top w:val="single" w:sz="4" w:space="0" w:color="auto"/>
              <w:bottom w:val="double" w:sz="4" w:space="0" w:color="auto"/>
            </w:tcBorders>
          </w:tcPr>
          <w:p w14:paraId="34D5822F" w14:textId="77777777" w:rsidR="00A96893" w:rsidRPr="00EC71ED" w:rsidRDefault="00A96893" w:rsidP="00D877F7">
            <w:pPr>
              <w:spacing w:before="60" w:after="20"/>
            </w:pPr>
            <w:r w:rsidRPr="00EC71ED">
              <w:rPr>
                <w:b/>
              </w:rPr>
              <w:t>EFFECTIVE DATE:</w:t>
            </w:r>
            <w:r w:rsidRPr="00EC71ED">
              <w:t xml:space="preserve"> </w:t>
            </w:r>
          </w:p>
        </w:tc>
        <w:tc>
          <w:tcPr>
            <w:tcW w:w="4845" w:type="dxa"/>
            <w:tcBorders>
              <w:top w:val="single" w:sz="4" w:space="0" w:color="auto"/>
              <w:bottom w:val="double" w:sz="4" w:space="0" w:color="auto"/>
            </w:tcBorders>
          </w:tcPr>
          <w:p w14:paraId="7DF003F0" w14:textId="77777777" w:rsidR="00A96893" w:rsidRPr="00EC71ED" w:rsidRDefault="00A96893" w:rsidP="00D877F7">
            <w:pPr>
              <w:spacing w:before="60" w:after="20"/>
            </w:pPr>
            <w:r w:rsidRPr="00EC71ED">
              <w:rPr>
                <w:b/>
              </w:rPr>
              <w:t>ORIGINATION DATE:</w:t>
            </w:r>
            <w:r w:rsidRPr="00EC71ED">
              <w:t xml:space="preserve"> </w:t>
            </w:r>
          </w:p>
        </w:tc>
      </w:tr>
    </w:tbl>
    <w:p w14:paraId="0DC0AC1D" w14:textId="77777777" w:rsidR="00A973EE" w:rsidRPr="00EC71ED" w:rsidRDefault="00A973EE" w:rsidP="00D82ADA"/>
    <w:p w14:paraId="33979CFE" w14:textId="77777777" w:rsidR="00D82ADA" w:rsidRPr="00EC71ED" w:rsidRDefault="00D82ADA" w:rsidP="00D82ADA">
      <w:r w:rsidRPr="00EC71ED">
        <w:rPr>
          <w:b/>
          <w:u w:val="single"/>
        </w:rPr>
        <w:t>SCOPE</w:t>
      </w:r>
      <w:r w:rsidR="0019168D" w:rsidRPr="00EC71ED">
        <w:rPr>
          <w:b/>
          <w:u w:val="single"/>
        </w:rPr>
        <w:t>:</w:t>
      </w:r>
      <w:r w:rsidR="0019168D" w:rsidRPr="00EC71ED">
        <w:t xml:space="preserve"> </w:t>
      </w:r>
    </w:p>
    <w:p w14:paraId="5A6E888D" w14:textId="43DAB41E" w:rsidR="00803A49" w:rsidRPr="00EC71ED" w:rsidRDefault="00637554" w:rsidP="00637554">
      <w:r w:rsidRPr="00EC71ED">
        <w:rPr>
          <w:color w:val="000000"/>
        </w:rPr>
        <w:t>Delayed graft function (DGF) is a common</w:t>
      </w:r>
      <w:r w:rsidR="002208A1" w:rsidRPr="00EC71ED">
        <w:rPr>
          <w:color w:val="000000"/>
        </w:rPr>
        <w:t xml:space="preserve"> </w:t>
      </w:r>
      <w:r w:rsidR="002208A1" w:rsidRPr="00EC71ED">
        <w:rPr>
          <w:lang w:val="en"/>
        </w:rPr>
        <w:t>and costly complication of kidney transplantation</w:t>
      </w:r>
      <w:r w:rsidR="002208A1" w:rsidRPr="00EC71ED">
        <w:rPr>
          <w:color w:val="000000"/>
        </w:rPr>
        <w:t xml:space="preserve"> </w:t>
      </w:r>
      <w:r w:rsidRPr="00EC71ED">
        <w:rPr>
          <w:color w:val="000000"/>
        </w:rPr>
        <w:t>most frequently defined as the need for dialysis during the first post-transplant week</w:t>
      </w:r>
      <w:r w:rsidRPr="00EC71ED">
        <w:t>.</w:t>
      </w:r>
      <w:r w:rsidR="005E6157" w:rsidRPr="005E6157">
        <w:rPr>
          <w:lang w:val="en"/>
        </w:rPr>
        <w:t xml:space="preserve"> </w:t>
      </w:r>
      <w:r w:rsidR="005E6157">
        <w:rPr>
          <w:lang w:val="en"/>
        </w:rPr>
        <w:t>Patients with DGF are medically complex, tend to have a longer hospitalization, and are at risk for early readmission</w:t>
      </w:r>
      <w:r w:rsidR="00330874">
        <w:rPr>
          <w:lang w:val="en"/>
        </w:rPr>
        <w:t>.</w:t>
      </w:r>
      <w:r w:rsidRPr="00EC71ED">
        <w:t xml:space="preserve"> The presence of delayed graft function </w:t>
      </w:r>
      <w:r w:rsidR="00263D73">
        <w:t>can significantly</w:t>
      </w:r>
      <w:r w:rsidRPr="00EC71ED">
        <w:t xml:space="preserve"> impact both short- and long-term allograft survival</w:t>
      </w:r>
      <w:r w:rsidR="00FF3D05" w:rsidRPr="00EC71ED">
        <w:t xml:space="preserve">. </w:t>
      </w:r>
      <w:r w:rsidR="00FF3D05" w:rsidRPr="00EC71ED">
        <w:rPr>
          <w:lang w:val="en"/>
        </w:rPr>
        <w:t xml:space="preserve">Patients with DGF have a higher risk of rejection and therefore require close monitoring of graft function and </w:t>
      </w:r>
      <w:r w:rsidR="005E6157">
        <w:rPr>
          <w:lang w:val="en"/>
        </w:rPr>
        <w:t>immunosuppression.</w:t>
      </w:r>
    </w:p>
    <w:p w14:paraId="5D795F9D" w14:textId="77777777" w:rsidR="00637554" w:rsidRPr="00EC71ED" w:rsidRDefault="00637554" w:rsidP="00D82ADA"/>
    <w:p w14:paraId="1455F470" w14:textId="77777777" w:rsidR="00D82ADA" w:rsidRPr="00EC71ED" w:rsidRDefault="00D82ADA" w:rsidP="00D82ADA">
      <w:r w:rsidRPr="00EC71ED">
        <w:rPr>
          <w:b/>
          <w:u w:val="single"/>
        </w:rPr>
        <w:t>PURPOSE</w:t>
      </w:r>
      <w:r w:rsidR="0019168D" w:rsidRPr="00EC71ED">
        <w:rPr>
          <w:b/>
          <w:u w:val="single"/>
        </w:rPr>
        <w:t>:</w:t>
      </w:r>
    </w:p>
    <w:p w14:paraId="408F1D77" w14:textId="383CA9DB" w:rsidR="00BC397B" w:rsidRDefault="00637554" w:rsidP="00D82ADA">
      <w:pPr>
        <w:rPr>
          <w:lang w:val="en"/>
        </w:rPr>
      </w:pPr>
      <w:r w:rsidRPr="00EC71ED">
        <w:t xml:space="preserve">The purpose of </w:t>
      </w:r>
      <w:r w:rsidR="00263D73">
        <w:t xml:space="preserve">the </w:t>
      </w:r>
      <w:r w:rsidRPr="00EC71ED">
        <w:t>DGF protocol is to identify patients with DGF</w:t>
      </w:r>
      <w:r w:rsidR="005F1550" w:rsidRPr="00EC71ED">
        <w:t xml:space="preserve"> and </w:t>
      </w:r>
      <w:r w:rsidRPr="00EC71ED">
        <w:t xml:space="preserve">standardize </w:t>
      </w:r>
      <w:r w:rsidR="00740467" w:rsidRPr="00EC71ED">
        <w:t>patient</w:t>
      </w:r>
      <w:r w:rsidRPr="00EC71ED">
        <w:t xml:space="preserve"> management </w:t>
      </w:r>
      <w:r w:rsidR="00EC2D1E">
        <w:t xml:space="preserve">during discharge and </w:t>
      </w:r>
      <w:r w:rsidRPr="00EC71ED">
        <w:t>post</w:t>
      </w:r>
      <w:r w:rsidR="00263D73">
        <w:t>-</w:t>
      </w:r>
      <w:r w:rsidR="005E6157">
        <w:t>discharge</w:t>
      </w:r>
      <w:r w:rsidR="00EC71ED" w:rsidRPr="00EC71ED">
        <w:t xml:space="preserve"> </w:t>
      </w:r>
      <w:r w:rsidR="00EC71ED" w:rsidRPr="00EC71ED">
        <w:rPr>
          <w:lang w:val="en"/>
        </w:rPr>
        <w:t>for close immunosuppression management, monitoring of graft function, blood pressure/volume management and timely biopsy</w:t>
      </w:r>
      <w:r w:rsidR="005E6157">
        <w:rPr>
          <w:lang w:val="en"/>
        </w:rPr>
        <w:t xml:space="preserve"> for screening for rejection.</w:t>
      </w:r>
    </w:p>
    <w:p w14:paraId="4D6A4196" w14:textId="77777777" w:rsidR="005E6157" w:rsidRPr="00EC71ED" w:rsidRDefault="005E6157" w:rsidP="00D82ADA"/>
    <w:p w14:paraId="0062EBCA" w14:textId="77777777" w:rsidR="00D82ADA" w:rsidRDefault="00D82ADA" w:rsidP="00D82ADA">
      <w:r w:rsidRPr="00EC71ED">
        <w:rPr>
          <w:b/>
          <w:u w:val="single"/>
        </w:rPr>
        <w:lastRenderedPageBreak/>
        <w:t>PROCEDURE</w:t>
      </w:r>
      <w:r w:rsidR="0019168D" w:rsidRPr="00EC71ED">
        <w:rPr>
          <w:b/>
        </w:rPr>
        <w:t>:</w:t>
      </w:r>
      <w:r w:rsidRPr="00EC71ED">
        <w:t xml:space="preserve"> </w:t>
      </w:r>
    </w:p>
    <w:p w14:paraId="6DFC651E" w14:textId="77777777" w:rsidR="004B276A" w:rsidRPr="004B276A" w:rsidRDefault="004B276A" w:rsidP="004B276A">
      <w:pPr>
        <w:rPr>
          <w:u w:val="single"/>
        </w:rPr>
      </w:pPr>
      <w:r w:rsidRPr="004B276A">
        <w:rPr>
          <w:u w:val="single"/>
        </w:rPr>
        <w:t xml:space="preserve">Definition: </w:t>
      </w:r>
    </w:p>
    <w:p w14:paraId="06C02DB5" w14:textId="77777777" w:rsidR="004B276A" w:rsidRDefault="004B276A" w:rsidP="00D82ADA">
      <w:r w:rsidRPr="00EC71ED">
        <w:t xml:space="preserve">DGF = All patients who receive dialysis </w:t>
      </w:r>
      <w:r>
        <w:t>during the first post-transplant week.</w:t>
      </w:r>
    </w:p>
    <w:p w14:paraId="15A639B8" w14:textId="77777777" w:rsidR="004B276A" w:rsidRDefault="004B276A" w:rsidP="00D82ADA"/>
    <w:p w14:paraId="25010DD4" w14:textId="77777777" w:rsidR="004B276A" w:rsidRPr="004B276A" w:rsidRDefault="004B276A" w:rsidP="00D82ADA">
      <w:pPr>
        <w:rPr>
          <w:u w:val="single"/>
        </w:rPr>
      </w:pPr>
      <w:r w:rsidRPr="004B276A">
        <w:rPr>
          <w:u w:val="single"/>
        </w:rPr>
        <w:t>Patient Identification</w:t>
      </w:r>
      <w:r w:rsidR="00FF270D">
        <w:rPr>
          <w:u w:val="single"/>
        </w:rPr>
        <w:t xml:space="preserve"> </w:t>
      </w:r>
    </w:p>
    <w:p w14:paraId="347C4A85" w14:textId="498F09D2" w:rsidR="004B276A" w:rsidRDefault="00A929D5" w:rsidP="00C6578D">
      <w:pPr>
        <w:pStyle w:val="ListParagraph"/>
        <w:numPr>
          <w:ilvl w:val="0"/>
          <w:numId w:val="8"/>
        </w:numPr>
      </w:pPr>
      <w:r w:rsidRPr="00EC71ED">
        <w:rPr>
          <w:rFonts w:ascii="Times New Roman" w:hAnsi="Times New Roman" w:cs="Times New Roman"/>
          <w:sz w:val="24"/>
          <w:szCs w:val="24"/>
        </w:rPr>
        <w:t xml:space="preserve">Patient </w:t>
      </w:r>
      <w:r w:rsidR="00823226">
        <w:rPr>
          <w:rFonts w:ascii="Times New Roman" w:hAnsi="Times New Roman" w:cs="Times New Roman"/>
          <w:sz w:val="24"/>
          <w:szCs w:val="24"/>
        </w:rPr>
        <w:t xml:space="preserve">will be </w:t>
      </w:r>
      <w:r w:rsidRPr="00EC71ED">
        <w:rPr>
          <w:rFonts w:ascii="Times New Roman" w:hAnsi="Times New Roman" w:cs="Times New Roman"/>
          <w:sz w:val="24"/>
          <w:szCs w:val="24"/>
        </w:rPr>
        <w:t xml:space="preserve">identified as </w:t>
      </w:r>
      <w:r w:rsidR="00823226">
        <w:rPr>
          <w:rFonts w:ascii="Times New Roman" w:hAnsi="Times New Roman" w:cs="Times New Roman"/>
          <w:sz w:val="24"/>
          <w:szCs w:val="24"/>
        </w:rPr>
        <w:t xml:space="preserve">a </w:t>
      </w:r>
      <w:r w:rsidRPr="00EC71ED">
        <w:rPr>
          <w:rFonts w:ascii="Times New Roman" w:hAnsi="Times New Roman" w:cs="Times New Roman"/>
          <w:sz w:val="24"/>
          <w:szCs w:val="24"/>
        </w:rPr>
        <w:t xml:space="preserve">DGF </w:t>
      </w:r>
      <w:r w:rsidR="00823226">
        <w:rPr>
          <w:rFonts w:ascii="Times New Roman" w:hAnsi="Times New Roman" w:cs="Times New Roman"/>
          <w:sz w:val="24"/>
          <w:szCs w:val="24"/>
        </w:rPr>
        <w:t xml:space="preserve">patient </w:t>
      </w:r>
      <w:r w:rsidRPr="00EC71ED">
        <w:rPr>
          <w:rFonts w:ascii="Times New Roman" w:hAnsi="Times New Roman" w:cs="Times New Roman"/>
          <w:sz w:val="24"/>
          <w:szCs w:val="24"/>
        </w:rPr>
        <w:t xml:space="preserve">during inpatient </w:t>
      </w:r>
      <w:r w:rsidRPr="00330874">
        <w:rPr>
          <w:rFonts w:ascii="Times New Roman" w:eastAsia="Times New Roman" w:hAnsi="Times New Roman" w:cs="Times New Roman"/>
          <w:sz w:val="24"/>
          <w:szCs w:val="24"/>
          <w:lang w:val="en"/>
        </w:rPr>
        <w:t>stay</w:t>
      </w:r>
      <w:r w:rsidR="00C6578D" w:rsidRPr="00330874">
        <w:rPr>
          <w:rFonts w:ascii="Times New Roman" w:eastAsia="Times New Roman" w:hAnsi="Times New Roman" w:cs="Times New Roman"/>
          <w:sz w:val="24"/>
          <w:szCs w:val="24"/>
          <w:lang w:val="en"/>
        </w:rPr>
        <w:t xml:space="preserve"> by the transplant surgical and nephrology team. </w:t>
      </w:r>
      <w:r w:rsidR="00263D73">
        <w:rPr>
          <w:rFonts w:ascii="Times New Roman" w:eastAsia="Times New Roman" w:hAnsi="Times New Roman" w:cs="Times New Roman"/>
          <w:sz w:val="24"/>
          <w:szCs w:val="24"/>
          <w:lang w:val="en"/>
        </w:rPr>
        <w:t>The</w:t>
      </w:r>
      <w:r w:rsidR="00FF270D" w:rsidRPr="00330874">
        <w:rPr>
          <w:rFonts w:ascii="Times New Roman" w:eastAsia="Times New Roman" w:hAnsi="Times New Roman" w:cs="Times New Roman"/>
          <w:sz w:val="24"/>
          <w:szCs w:val="24"/>
          <w:lang w:val="en"/>
        </w:rPr>
        <w:t xml:space="preserve"> DGF pathway </w:t>
      </w:r>
      <w:r w:rsidR="00263D73">
        <w:rPr>
          <w:rFonts w:ascii="Times New Roman" w:eastAsia="Times New Roman" w:hAnsi="Times New Roman" w:cs="Times New Roman"/>
          <w:sz w:val="24"/>
          <w:szCs w:val="24"/>
          <w:lang w:val="en"/>
        </w:rPr>
        <w:t xml:space="preserve">will be initiated for patients </w:t>
      </w:r>
      <w:r w:rsidR="00FF270D" w:rsidRPr="00330874">
        <w:rPr>
          <w:rFonts w:ascii="Times New Roman" w:eastAsia="Times New Roman" w:hAnsi="Times New Roman" w:cs="Times New Roman"/>
          <w:sz w:val="24"/>
          <w:szCs w:val="24"/>
          <w:lang w:val="en"/>
        </w:rPr>
        <w:t>discharged on dialysis.</w:t>
      </w:r>
    </w:p>
    <w:p w14:paraId="1F439541" w14:textId="0F78A033" w:rsidR="005346FC" w:rsidRDefault="005346FC" w:rsidP="005346FC">
      <w:r>
        <w:rPr>
          <w:u w:val="single"/>
        </w:rPr>
        <w:t>I</w:t>
      </w:r>
      <w:r w:rsidRPr="005346FC">
        <w:rPr>
          <w:u w:val="single"/>
        </w:rPr>
        <w:t xml:space="preserve">npatient work </w:t>
      </w:r>
      <w:r w:rsidR="00263D73" w:rsidRPr="005346FC">
        <w:rPr>
          <w:u w:val="single"/>
        </w:rPr>
        <w:t>f</w:t>
      </w:r>
      <w:r w:rsidR="00263D73">
        <w:rPr>
          <w:u w:val="single"/>
        </w:rPr>
        <w:t>low</w:t>
      </w:r>
      <w:r w:rsidRPr="005346FC">
        <w:rPr>
          <w:u w:val="single"/>
        </w:rPr>
        <w:t>:</w:t>
      </w:r>
    </w:p>
    <w:p w14:paraId="7EC19648" w14:textId="77777777" w:rsidR="00330874" w:rsidRDefault="00A929D5" w:rsidP="00330874">
      <w:pPr>
        <w:pStyle w:val="ListParagraph"/>
        <w:numPr>
          <w:ilvl w:val="0"/>
          <w:numId w:val="9"/>
        </w:numPr>
        <w:rPr>
          <w:rFonts w:ascii="Times New Roman" w:hAnsi="Times New Roman" w:cs="Times New Roman"/>
          <w:sz w:val="24"/>
          <w:szCs w:val="24"/>
        </w:rPr>
      </w:pPr>
      <w:r w:rsidRPr="00330874">
        <w:rPr>
          <w:rFonts w:ascii="Times New Roman" w:hAnsi="Times New Roman" w:cs="Times New Roman"/>
          <w:sz w:val="24"/>
          <w:szCs w:val="24"/>
        </w:rPr>
        <w:t>When patient is deemed ready for discharge the following actions should be taken:</w:t>
      </w:r>
    </w:p>
    <w:p w14:paraId="63AF46C9" w14:textId="77777777" w:rsidR="00330874" w:rsidRDefault="00FF270D" w:rsidP="00330874">
      <w:pPr>
        <w:pStyle w:val="ListParagraph"/>
        <w:numPr>
          <w:ilvl w:val="1"/>
          <w:numId w:val="9"/>
        </w:numPr>
        <w:rPr>
          <w:rFonts w:ascii="Times New Roman" w:hAnsi="Times New Roman" w:cs="Times New Roman"/>
          <w:sz w:val="24"/>
          <w:szCs w:val="24"/>
        </w:rPr>
      </w:pPr>
      <w:r w:rsidRPr="00330874">
        <w:rPr>
          <w:rFonts w:ascii="Times New Roman" w:hAnsi="Times New Roman" w:cs="Times New Roman"/>
          <w:sz w:val="24"/>
          <w:szCs w:val="24"/>
        </w:rPr>
        <w:t xml:space="preserve">Surgical team </w:t>
      </w:r>
    </w:p>
    <w:p w14:paraId="563B65F5" w14:textId="77777777" w:rsidR="00330874" w:rsidRDefault="00330874" w:rsidP="00330874">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A</w:t>
      </w:r>
      <w:r w:rsidR="00A929D5" w:rsidRPr="00330874">
        <w:rPr>
          <w:rFonts w:ascii="Times New Roman" w:hAnsi="Times New Roman" w:cs="Times New Roman"/>
          <w:sz w:val="24"/>
          <w:szCs w:val="24"/>
        </w:rPr>
        <w:t>dd DGF (T86.19) to Diagnosis and Problem list</w:t>
      </w:r>
    </w:p>
    <w:p w14:paraId="3FC35925" w14:textId="21A66F04" w:rsidR="0043150A" w:rsidRDefault="0043150A" w:rsidP="0043150A">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I</w:t>
      </w:r>
      <w:r w:rsidRPr="00330874">
        <w:rPr>
          <w:rFonts w:ascii="Times New Roman" w:hAnsi="Times New Roman" w:cs="Times New Roman"/>
          <w:sz w:val="24"/>
          <w:szCs w:val="24"/>
        </w:rPr>
        <w:t xml:space="preserve">nclude DGF data elements in </w:t>
      </w:r>
      <w:r>
        <w:rPr>
          <w:rFonts w:ascii="Times New Roman" w:hAnsi="Times New Roman" w:cs="Times New Roman"/>
          <w:sz w:val="24"/>
          <w:szCs w:val="24"/>
        </w:rPr>
        <w:t>Discharge Summary</w:t>
      </w:r>
    </w:p>
    <w:p w14:paraId="5D725B76" w14:textId="77777777" w:rsidR="0043150A" w:rsidRDefault="0043150A" w:rsidP="0043150A">
      <w:pPr>
        <w:pStyle w:val="ListParagraph"/>
        <w:numPr>
          <w:ilvl w:val="3"/>
          <w:numId w:val="9"/>
        </w:numPr>
        <w:rPr>
          <w:rFonts w:ascii="Times New Roman" w:hAnsi="Times New Roman" w:cs="Times New Roman"/>
          <w:sz w:val="24"/>
          <w:szCs w:val="24"/>
        </w:rPr>
      </w:pPr>
      <w:r>
        <w:rPr>
          <w:rFonts w:ascii="Times New Roman" w:hAnsi="Times New Roman" w:cs="Times New Roman"/>
          <w:sz w:val="24"/>
          <w:szCs w:val="24"/>
        </w:rPr>
        <w:t>Dialysis center</w:t>
      </w:r>
    </w:p>
    <w:p w14:paraId="072BB3E2" w14:textId="77777777" w:rsidR="0043150A" w:rsidRDefault="0043150A" w:rsidP="0043150A">
      <w:pPr>
        <w:pStyle w:val="ListParagraph"/>
        <w:numPr>
          <w:ilvl w:val="3"/>
          <w:numId w:val="9"/>
        </w:numPr>
        <w:rPr>
          <w:rFonts w:ascii="Times New Roman" w:hAnsi="Times New Roman" w:cs="Times New Roman"/>
          <w:sz w:val="24"/>
          <w:szCs w:val="24"/>
        </w:rPr>
      </w:pPr>
      <w:r>
        <w:rPr>
          <w:rFonts w:ascii="Times New Roman" w:hAnsi="Times New Roman" w:cs="Times New Roman"/>
          <w:sz w:val="24"/>
          <w:szCs w:val="24"/>
        </w:rPr>
        <w:t>Type of dialysis</w:t>
      </w:r>
    </w:p>
    <w:p w14:paraId="32A09BCD" w14:textId="77777777" w:rsidR="0043150A" w:rsidRDefault="0043150A" w:rsidP="0043150A">
      <w:pPr>
        <w:pStyle w:val="ListParagraph"/>
        <w:numPr>
          <w:ilvl w:val="3"/>
          <w:numId w:val="9"/>
        </w:numPr>
        <w:rPr>
          <w:rFonts w:ascii="Times New Roman" w:hAnsi="Times New Roman" w:cs="Times New Roman"/>
          <w:sz w:val="24"/>
          <w:szCs w:val="24"/>
        </w:rPr>
      </w:pPr>
      <w:r>
        <w:rPr>
          <w:rFonts w:ascii="Times New Roman" w:hAnsi="Times New Roman" w:cs="Times New Roman"/>
          <w:sz w:val="24"/>
          <w:szCs w:val="24"/>
        </w:rPr>
        <w:lastRenderedPageBreak/>
        <w:t xml:space="preserve">Dialysis </w:t>
      </w:r>
      <w:r w:rsidR="00C844CB">
        <w:rPr>
          <w:rFonts w:ascii="Times New Roman" w:hAnsi="Times New Roman" w:cs="Times New Roman"/>
          <w:sz w:val="24"/>
          <w:szCs w:val="24"/>
        </w:rPr>
        <w:t>schedule</w:t>
      </w:r>
    </w:p>
    <w:p w14:paraId="5685D1E0" w14:textId="77777777" w:rsidR="00C844CB" w:rsidRPr="0043150A" w:rsidRDefault="00C844CB" w:rsidP="0043150A">
      <w:pPr>
        <w:pStyle w:val="ListParagraph"/>
        <w:numPr>
          <w:ilvl w:val="3"/>
          <w:numId w:val="9"/>
        </w:numPr>
        <w:rPr>
          <w:rFonts w:ascii="Times New Roman" w:hAnsi="Times New Roman" w:cs="Times New Roman"/>
          <w:sz w:val="24"/>
          <w:szCs w:val="24"/>
        </w:rPr>
      </w:pPr>
      <w:r>
        <w:rPr>
          <w:rFonts w:ascii="Times New Roman" w:hAnsi="Times New Roman" w:cs="Times New Roman"/>
          <w:sz w:val="24"/>
          <w:szCs w:val="24"/>
        </w:rPr>
        <w:t>Target weight</w:t>
      </w:r>
    </w:p>
    <w:p w14:paraId="66D16660" w14:textId="0D0B837D" w:rsidR="00330874" w:rsidRDefault="005346FC" w:rsidP="00330874">
      <w:pPr>
        <w:pStyle w:val="ListParagraph"/>
        <w:numPr>
          <w:ilvl w:val="2"/>
          <w:numId w:val="9"/>
        </w:numPr>
        <w:rPr>
          <w:rFonts w:ascii="Times New Roman" w:hAnsi="Times New Roman" w:cs="Times New Roman"/>
          <w:sz w:val="24"/>
          <w:szCs w:val="24"/>
        </w:rPr>
      </w:pPr>
      <w:r w:rsidRPr="00330874">
        <w:rPr>
          <w:rFonts w:ascii="Times New Roman" w:hAnsi="Times New Roman" w:cs="Times New Roman"/>
          <w:sz w:val="24"/>
          <w:szCs w:val="24"/>
        </w:rPr>
        <w:t>Communication to Short Term Post Coordinator of discharge</w:t>
      </w:r>
      <w:r w:rsidR="00EF43AD">
        <w:rPr>
          <w:rFonts w:ascii="Times New Roman" w:hAnsi="Times New Roman" w:cs="Times New Roman"/>
          <w:sz w:val="24"/>
          <w:szCs w:val="24"/>
        </w:rPr>
        <w:t>d</w:t>
      </w:r>
      <w:r w:rsidRPr="00330874">
        <w:rPr>
          <w:rFonts w:ascii="Times New Roman" w:hAnsi="Times New Roman" w:cs="Times New Roman"/>
          <w:sz w:val="24"/>
          <w:szCs w:val="24"/>
        </w:rPr>
        <w:t xml:space="preserve"> DGF patients and notification to schedule </w:t>
      </w:r>
      <w:r w:rsidR="00E257A4">
        <w:rPr>
          <w:rFonts w:ascii="Times New Roman" w:hAnsi="Times New Roman" w:cs="Times New Roman"/>
          <w:sz w:val="24"/>
          <w:szCs w:val="24"/>
        </w:rPr>
        <w:t>first</w:t>
      </w:r>
      <w:r w:rsidRPr="00330874">
        <w:rPr>
          <w:rFonts w:ascii="Times New Roman" w:hAnsi="Times New Roman" w:cs="Times New Roman"/>
          <w:sz w:val="24"/>
          <w:szCs w:val="24"/>
        </w:rPr>
        <w:t xml:space="preserve"> biops</w:t>
      </w:r>
      <w:r w:rsidR="00E257A4">
        <w:rPr>
          <w:rFonts w:ascii="Times New Roman" w:hAnsi="Times New Roman" w:cs="Times New Roman"/>
          <w:sz w:val="24"/>
          <w:szCs w:val="24"/>
        </w:rPr>
        <w:t>y</w:t>
      </w:r>
      <w:r w:rsidRPr="00330874">
        <w:rPr>
          <w:rFonts w:ascii="Times New Roman" w:hAnsi="Times New Roman" w:cs="Times New Roman"/>
          <w:sz w:val="24"/>
          <w:szCs w:val="24"/>
        </w:rPr>
        <w:t xml:space="preserve"> </w:t>
      </w:r>
      <w:r w:rsidR="00FA3B55">
        <w:rPr>
          <w:rFonts w:ascii="Times New Roman" w:hAnsi="Times New Roman" w:cs="Times New Roman"/>
          <w:sz w:val="24"/>
          <w:szCs w:val="24"/>
        </w:rPr>
        <w:t>as clinically indicated</w:t>
      </w:r>
      <w:r w:rsidR="00E257A4">
        <w:rPr>
          <w:rFonts w:ascii="Times New Roman" w:hAnsi="Times New Roman" w:cs="Times New Roman"/>
          <w:sz w:val="24"/>
          <w:szCs w:val="24"/>
        </w:rPr>
        <w:t>, with future biopsies to be scheduled every 1-2 weeks as indicated by persistent dialysis or unacceptable renal function.</w:t>
      </w:r>
    </w:p>
    <w:p w14:paraId="0A514F37" w14:textId="77777777" w:rsidR="00330874" w:rsidRDefault="005346FC" w:rsidP="00330874">
      <w:pPr>
        <w:pStyle w:val="ListParagraph"/>
        <w:numPr>
          <w:ilvl w:val="1"/>
          <w:numId w:val="9"/>
        </w:numPr>
        <w:rPr>
          <w:rFonts w:ascii="Times New Roman" w:hAnsi="Times New Roman" w:cs="Times New Roman"/>
          <w:sz w:val="24"/>
          <w:szCs w:val="24"/>
        </w:rPr>
      </w:pPr>
      <w:r w:rsidRPr="00330874">
        <w:rPr>
          <w:rFonts w:ascii="Times New Roman" w:hAnsi="Times New Roman" w:cs="Times New Roman"/>
          <w:sz w:val="24"/>
          <w:szCs w:val="24"/>
        </w:rPr>
        <w:t>Transplant N</w:t>
      </w:r>
      <w:r w:rsidR="00A929D5" w:rsidRPr="00330874">
        <w:rPr>
          <w:rFonts w:ascii="Times New Roman" w:hAnsi="Times New Roman" w:cs="Times New Roman"/>
          <w:sz w:val="24"/>
          <w:szCs w:val="24"/>
        </w:rPr>
        <w:t>ephrolog</w:t>
      </w:r>
      <w:r w:rsidR="00FF270D" w:rsidRPr="00330874">
        <w:rPr>
          <w:rFonts w:ascii="Times New Roman" w:hAnsi="Times New Roman" w:cs="Times New Roman"/>
          <w:sz w:val="24"/>
          <w:szCs w:val="24"/>
        </w:rPr>
        <w:t xml:space="preserve">ist </w:t>
      </w:r>
    </w:p>
    <w:p w14:paraId="6C589864" w14:textId="3580FAFA" w:rsidR="00330874" w:rsidRDefault="00431B3C" w:rsidP="00330874">
      <w:pPr>
        <w:pStyle w:val="ListParagraph"/>
        <w:numPr>
          <w:ilvl w:val="2"/>
          <w:numId w:val="9"/>
        </w:numPr>
        <w:rPr>
          <w:rFonts w:ascii="Times New Roman" w:hAnsi="Times New Roman" w:cs="Times New Roman"/>
          <w:sz w:val="24"/>
          <w:szCs w:val="24"/>
        </w:rPr>
      </w:pPr>
      <w:r w:rsidRPr="00330874">
        <w:rPr>
          <w:rFonts w:ascii="Times New Roman" w:hAnsi="Times New Roman" w:cs="Times New Roman"/>
          <w:sz w:val="24"/>
          <w:szCs w:val="24"/>
        </w:rPr>
        <w:t xml:space="preserve">Establish new dry weight, dialysis schedule, </w:t>
      </w:r>
      <w:r w:rsidR="00FA3B55">
        <w:rPr>
          <w:rFonts w:ascii="Times New Roman" w:hAnsi="Times New Roman" w:cs="Times New Roman"/>
          <w:sz w:val="24"/>
          <w:szCs w:val="24"/>
        </w:rPr>
        <w:t xml:space="preserve">and </w:t>
      </w:r>
      <w:r w:rsidRPr="00330874">
        <w:rPr>
          <w:rFonts w:ascii="Times New Roman" w:hAnsi="Times New Roman" w:cs="Times New Roman"/>
          <w:sz w:val="24"/>
          <w:szCs w:val="24"/>
        </w:rPr>
        <w:t>biopsy dates</w:t>
      </w:r>
      <w:r w:rsidR="00FA3B55">
        <w:rPr>
          <w:rFonts w:ascii="Times New Roman" w:hAnsi="Times New Roman" w:cs="Times New Roman"/>
          <w:sz w:val="24"/>
          <w:szCs w:val="24"/>
        </w:rPr>
        <w:t xml:space="preserve"> with surgical team</w:t>
      </w:r>
    </w:p>
    <w:p w14:paraId="1DDB2300" w14:textId="77777777" w:rsidR="00330874" w:rsidRDefault="00431B3C" w:rsidP="00330874">
      <w:pPr>
        <w:pStyle w:val="ListParagraph"/>
        <w:numPr>
          <w:ilvl w:val="2"/>
          <w:numId w:val="9"/>
        </w:numPr>
        <w:rPr>
          <w:rFonts w:ascii="Times New Roman" w:hAnsi="Times New Roman" w:cs="Times New Roman"/>
          <w:sz w:val="24"/>
          <w:szCs w:val="24"/>
        </w:rPr>
      </w:pPr>
      <w:r w:rsidRPr="00330874">
        <w:rPr>
          <w:rFonts w:ascii="Times New Roman" w:hAnsi="Times New Roman" w:cs="Times New Roman"/>
          <w:sz w:val="24"/>
          <w:szCs w:val="24"/>
        </w:rPr>
        <w:t>C</w:t>
      </w:r>
      <w:r w:rsidR="00FF270D" w:rsidRPr="00330874">
        <w:rPr>
          <w:rFonts w:ascii="Times New Roman" w:hAnsi="Times New Roman" w:cs="Times New Roman"/>
          <w:sz w:val="24"/>
          <w:szCs w:val="24"/>
        </w:rPr>
        <w:t>ommun</w:t>
      </w:r>
      <w:r w:rsidR="0043150A">
        <w:rPr>
          <w:rFonts w:ascii="Times New Roman" w:hAnsi="Times New Roman" w:cs="Times New Roman"/>
          <w:sz w:val="24"/>
          <w:szCs w:val="24"/>
        </w:rPr>
        <w:t xml:space="preserve">icate with </w:t>
      </w:r>
      <w:r w:rsidR="00EF43AD">
        <w:rPr>
          <w:rFonts w:ascii="Times New Roman" w:hAnsi="Times New Roman" w:cs="Times New Roman"/>
          <w:sz w:val="24"/>
          <w:szCs w:val="24"/>
        </w:rPr>
        <w:t xml:space="preserve">dialysis center </w:t>
      </w:r>
      <w:r w:rsidR="0043150A">
        <w:rPr>
          <w:rFonts w:ascii="Times New Roman" w:hAnsi="Times New Roman" w:cs="Times New Roman"/>
          <w:sz w:val="24"/>
          <w:szCs w:val="24"/>
        </w:rPr>
        <w:t>nephrologist about patient’s hospital course and new d</w:t>
      </w:r>
      <w:r w:rsidR="00FF270D" w:rsidRPr="00330874">
        <w:rPr>
          <w:rFonts w:ascii="Times New Roman" w:hAnsi="Times New Roman" w:cs="Times New Roman"/>
          <w:sz w:val="24"/>
          <w:szCs w:val="24"/>
        </w:rPr>
        <w:t>ry weight.</w:t>
      </w:r>
    </w:p>
    <w:p w14:paraId="7ADA7569" w14:textId="77777777" w:rsidR="00330874" w:rsidRDefault="00A929D5" w:rsidP="00330874">
      <w:pPr>
        <w:pStyle w:val="ListParagraph"/>
        <w:numPr>
          <w:ilvl w:val="1"/>
          <w:numId w:val="9"/>
        </w:numPr>
        <w:rPr>
          <w:rFonts w:ascii="Times New Roman" w:hAnsi="Times New Roman" w:cs="Times New Roman"/>
          <w:sz w:val="24"/>
          <w:szCs w:val="24"/>
        </w:rPr>
      </w:pPr>
      <w:r w:rsidRPr="00330874">
        <w:rPr>
          <w:rFonts w:ascii="Times New Roman" w:hAnsi="Times New Roman" w:cs="Times New Roman"/>
          <w:sz w:val="24"/>
          <w:szCs w:val="24"/>
        </w:rPr>
        <w:t>ADT Nurse to provide patient with</w:t>
      </w:r>
    </w:p>
    <w:p w14:paraId="29D7491D" w14:textId="77777777" w:rsidR="00330874" w:rsidRDefault="00A929D5" w:rsidP="00330874">
      <w:pPr>
        <w:pStyle w:val="ListParagraph"/>
        <w:numPr>
          <w:ilvl w:val="2"/>
          <w:numId w:val="9"/>
        </w:numPr>
        <w:rPr>
          <w:rFonts w:ascii="Times New Roman" w:hAnsi="Times New Roman" w:cs="Times New Roman"/>
          <w:sz w:val="24"/>
          <w:szCs w:val="24"/>
        </w:rPr>
      </w:pPr>
      <w:r w:rsidRPr="00330874">
        <w:rPr>
          <w:rFonts w:ascii="Times New Roman" w:hAnsi="Times New Roman" w:cs="Times New Roman"/>
          <w:sz w:val="24"/>
          <w:szCs w:val="24"/>
        </w:rPr>
        <w:t>Patient Log</w:t>
      </w:r>
    </w:p>
    <w:p w14:paraId="431C9CB3" w14:textId="6751FE96" w:rsidR="00330874" w:rsidRDefault="00E80A5E" w:rsidP="00330874">
      <w:pPr>
        <w:pStyle w:val="ListParagraph"/>
        <w:numPr>
          <w:ilvl w:val="2"/>
          <w:numId w:val="9"/>
        </w:numPr>
        <w:rPr>
          <w:rFonts w:ascii="Times New Roman" w:hAnsi="Times New Roman" w:cs="Times New Roman"/>
          <w:sz w:val="24"/>
          <w:szCs w:val="24"/>
        </w:rPr>
      </w:pPr>
      <w:r w:rsidRPr="00330874">
        <w:rPr>
          <w:rFonts w:ascii="Times New Roman" w:hAnsi="Times New Roman" w:cs="Times New Roman"/>
          <w:sz w:val="24"/>
          <w:szCs w:val="24"/>
        </w:rPr>
        <w:t>Urinal</w:t>
      </w:r>
      <w:r w:rsidR="00036C5E">
        <w:rPr>
          <w:rFonts w:ascii="Times New Roman" w:hAnsi="Times New Roman" w:cs="Times New Roman"/>
          <w:sz w:val="24"/>
          <w:szCs w:val="24"/>
        </w:rPr>
        <w:t>/Hat</w:t>
      </w:r>
    </w:p>
    <w:p w14:paraId="3BB45D96" w14:textId="77777777" w:rsidR="00330874" w:rsidRDefault="00A929D5" w:rsidP="00330874">
      <w:pPr>
        <w:pStyle w:val="ListParagraph"/>
        <w:numPr>
          <w:ilvl w:val="2"/>
          <w:numId w:val="9"/>
        </w:numPr>
        <w:rPr>
          <w:rFonts w:ascii="Times New Roman" w:hAnsi="Times New Roman" w:cs="Times New Roman"/>
          <w:sz w:val="24"/>
          <w:szCs w:val="24"/>
        </w:rPr>
      </w:pPr>
      <w:r w:rsidRPr="00330874">
        <w:rPr>
          <w:rFonts w:ascii="Times New Roman" w:hAnsi="Times New Roman" w:cs="Times New Roman"/>
          <w:sz w:val="24"/>
          <w:szCs w:val="24"/>
        </w:rPr>
        <w:t>Education leaflet (included in Depart Summary)</w:t>
      </w:r>
    </w:p>
    <w:p w14:paraId="1177262D" w14:textId="4FA0A5CB" w:rsidR="00330874" w:rsidRDefault="00A929D5" w:rsidP="00330874">
      <w:pPr>
        <w:pStyle w:val="ListParagraph"/>
        <w:numPr>
          <w:ilvl w:val="1"/>
          <w:numId w:val="9"/>
        </w:numPr>
        <w:rPr>
          <w:rFonts w:ascii="Times New Roman" w:hAnsi="Times New Roman" w:cs="Times New Roman"/>
          <w:sz w:val="24"/>
          <w:szCs w:val="24"/>
        </w:rPr>
      </w:pPr>
      <w:r w:rsidRPr="00330874">
        <w:rPr>
          <w:rFonts w:ascii="Times New Roman" w:hAnsi="Times New Roman" w:cs="Times New Roman"/>
          <w:sz w:val="24"/>
          <w:szCs w:val="24"/>
        </w:rPr>
        <w:t>Pharmacist to ensure necessary medications are prescribed</w:t>
      </w:r>
      <w:r w:rsidR="00036C5E">
        <w:rPr>
          <w:rFonts w:ascii="Times New Roman" w:hAnsi="Times New Roman" w:cs="Times New Roman"/>
          <w:sz w:val="24"/>
          <w:szCs w:val="24"/>
        </w:rPr>
        <w:t xml:space="preserve"> and dosed.</w:t>
      </w:r>
    </w:p>
    <w:p w14:paraId="2300484B" w14:textId="77777777" w:rsidR="00A929D5" w:rsidRPr="00330874" w:rsidRDefault="00A929D5" w:rsidP="00330874">
      <w:pPr>
        <w:pStyle w:val="ListParagraph"/>
        <w:numPr>
          <w:ilvl w:val="1"/>
          <w:numId w:val="9"/>
        </w:numPr>
        <w:rPr>
          <w:rFonts w:ascii="Times New Roman" w:hAnsi="Times New Roman" w:cs="Times New Roman"/>
          <w:sz w:val="24"/>
          <w:szCs w:val="24"/>
        </w:rPr>
      </w:pPr>
      <w:r w:rsidRPr="00330874">
        <w:rPr>
          <w:rFonts w:ascii="Times New Roman" w:hAnsi="Times New Roman" w:cs="Times New Roman"/>
          <w:sz w:val="24"/>
          <w:szCs w:val="24"/>
        </w:rPr>
        <w:lastRenderedPageBreak/>
        <w:t>ADT Nurse to follow-up with patients within 48 hours of discharge and notify Short Term Post Coordinator via message center if any issues</w:t>
      </w:r>
    </w:p>
    <w:p w14:paraId="5CE224B5" w14:textId="351ADF75" w:rsidR="00A929D5" w:rsidRPr="00947A0D" w:rsidRDefault="00A929D5" w:rsidP="00A929D5">
      <w:pPr>
        <w:rPr>
          <w:u w:val="single"/>
        </w:rPr>
      </w:pPr>
      <w:r w:rsidRPr="00947A0D">
        <w:rPr>
          <w:u w:val="single"/>
        </w:rPr>
        <w:t>Outpatient Clinic</w:t>
      </w:r>
      <w:r w:rsidR="00947A0D" w:rsidRPr="00947A0D">
        <w:rPr>
          <w:u w:val="single"/>
        </w:rPr>
        <w:t xml:space="preserve"> work </w:t>
      </w:r>
      <w:r w:rsidR="00263D73">
        <w:rPr>
          <w:u w:val="single"/>
        </w:rPr>
        <w:t>flow</w:t>
      </w:r>
      <w:r w:rsidRPr="00947A0D">
        <w:rPr>
          <w:u w:val="single"/>
        </w:rPr>
        <w:t>:</w:t>
      </w:r>
    </w:p>
    <w:p w14:paraId="6AA72E2F" w14:textId="77777777" w:rsidR="00947A0D" w:rsidRPr="00EC71ED" w:rsidRDefault="00947A0D" w:rsidP="00A929D5"/>
    <w:p w14:paraId="2AA3B9A3" w14:textId="77777777" w:rsidR="00330874" w:rsidRDefault="00A929D5" w:rsidP="00330874">
      <w:pPr>
        <w:pStyle w:val="ListParagraph"/>
        <w:numPr>
          <w:ilvl w:val="0"/>
          <w:numId w:val="10"/>
        </w:numPr>
        <w:rPr>
          <w:rFonts w:ascii="Times New Roman" w:hAnsi="Times New Roman" w:cs="Times New Roman"/>
          <w:sz w:val="24"/>
          <w:szCs w:val="24"/>
        </w:rPr>
      </w:pPr>
      <w:r w:rsidRPr="00330874">
        <w:rPr>
          <w:rFonts w:ascii="Times New Roman" w:hAnsi="Times New Roman" w:cs="Times New Roman"/>
          <w:sz w:val="24"/>
          <w:szCs w:val="24"/>
        </w:rPr>
        <w:t>Surgeon to include DGF data elements in Post Renal Visit Note</w:t>
      </w:r>
    </w:p>
    <w:p w14:paraId="66155FA7" w14:textId="77777777" w:rsidR="00330874" w:rsidRDefault="0043150A" w:rsidP="00330874">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Last dialysis session</w:t>
      </w:r>
    </w:p>
    <w:p w14:paraId="5D0387C5" w14:textId="77777777" w:rsidR="00330874" w:rsidRDefault="0043150A" w:rsidP="00330874">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Target dry weight</w:t>
      </w:r>
    </w:p>
    <w:p w14:paraId="6B7C854D" w14:textId="77777777" w:rsidR="00330874" w:rsidRDefault="0043150A" w:rsidP="00330874">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Current weight</w:t>
      </w:r>
    </w:p>
    <w:p w14:paraId="2312DB07" w14:textId="77777777" w:rsidR="00330874" w:rsidRPr="0043150A" w:rsidRDefault="0043150A" w:rsidP="0043150A">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Urine output</w:t>
      </w:r>
    </w:p>
    <w:p w14:paraId="25695F5B" w14:textId="088F7A5D" w:rsidR="00947A0D" w:rsidRPr="00330874" w:rsidRDefault="00947A0D" w:rsidP="00330874">
      <w:pPr>
        <w:pStyle w:val="ListParagraph"/>
        <w:numPr>
          <w:ilvl w:val="0"/>
          <w:numId w:val="10"/>
        </w:numPr>
        <w:rPr>
          <w:rFonts w:ascii="Times New Roman" w:hAnsi="Times New Roman" w:cs="Times New Roman"/>
          <w:sz w:val="24"/>
          <w:szCs w:val="24"/>
        </w:rPr>
      </w:pPr>
      <w:r w:rsidRPr="00330874">
        <w:rPr>
          <w:rFonts w:ascii="Times New Roman" w:hAnsi="Times New Roman" w:cs="Times New Roman"/>
          <w:sz w:val="24"/>
          <w:szCs w:val="24"/>
        </w:rPr>
        <w:t xml:space="preserve">Ensure DGF patients are </w:t>
      </w:r>
      <w:r w:rsidR="00036C5E">
        <w:rPr>
          <w:rFonts w:ascii="Times New Roman" w:hAnsi="Times New Roman" w:cs="Times New Roman"/>
          <w:sz w:val="24"/>
          <w:szCs w:val="24"/>
        </w:rPr>
        <w:t>b</w:t>
      </w:r>
      <w:r w:rsidRPr="00330874">
        <w:rPr>
          <w:rFonts w:ascii="Times New Roman" w:hAnsi="Times New Roman" w:cs="Times New Roman"/>
          <w:sz w:val="24"/>
          <w:szCs w:val="24"/>
        </w:rPr>
        <w:t xml:space="preserve">iopsied as </w:t>
      </w:r>
      <w:r w:rsidR="00036C5E">
        <w:rPr>
          <w:rFonts w:ascii="Times New Roman" w:hAnsi="Times New Roman" w:cs="Times New Roman"/>
          <w:sz w:val="24"/>
          <w:szCs w:val="24"/>
        </w:rPr>
        <w:t>described above.</w:t>
      </w:r>
    </w:p>
    <w:p w14:paraId="567BE84B" w14:textId="77777777" w:rsidR="00A929D5" w:rsidRPr="00EC71ED" w:rsidRDefault="00A929D5" w:rsidP="00A929D5">
      <w:r w:rsidRPr="00947A0D">
        <w:rPr>
          <w:u w:val="single"/>
        </w:rPr>
        <w:t>The following actions should be taken once the patient is no longer DGF</w:t>
      </w:r>
      <w:r w:rsidRPr="00EC71ED">
        <w:t>:</w:t>
      </w:r>
    </w:p>
    <w:p w14:paraId="6A8B74F6" w14:textId="77777777" w:rsidR="00330874" w:rsidRDefault="00A929D5" w:rsidP="00330874">
      <w:pPr>
        <w:pStyle w:val="ListParagraph"/>
        <w:numPr>
          <w:ilvl w:val="0"/>
          <w:numId w:val="11"/>
        </w:numPr>
        <w:rPr>
          <w:rFonts w:ascii="Times New Roman" w:hAnsi="Times New Roman" w:cs="Times New Roman"/>
          <w:sz w:val="24"/>
          <w:szCs w:val="24"/>
        </w:rPr>
      </w:pPr>
      <w:r w:rsidRPr="00330874">
        <w:rPr>
          <w:rFonts w:ascii="Times New Roman" w:hAnsi="Times New Roman" w:cs="Times New Roman"/>
          <w:sz w:val="24"/>
          <w:szCs w:val="24"/>
        </w:rPr>
        <w:t>Surgeon/Nephrologist to inactivate problem from problem list</w:t>
      </w:r>
    </w:p>
    <w:p w14:paraId="79B8592B" w14:textId="03560560" w:rsidR="00036C5E" w:rsidRDefault="00A929D5" w:rsidP="00330874">
      <w:pPr>
        <w:pStyle w:val="ListParagraph"/>
        <w:numPr>
          <w:ilvl w:val="0"/>
          <w:numId w:val="11"/>
        </w:numPr>
        <w:rPr>
          <w:rFonts w:ascii="Times New Roman" w:hAnsi="Times New Roman" w:cs="Times New Roman"/>
          <w:sz w:val="24"/>
          <w:szCs w:val="24"/>
        </w:rPr>
      </w:pPr>
      <w:r w:rsidRPr="00330874">
        <w:rPr>
          <w:rFonts w:ascii="Times New Roman" w:hAnsi="Times New Roman" w:cs="Times New Roman"/>
          <w:sz w:val="24"/>
          <w:szCs w:val="24"/>
        </w:rPr>
        <w:t>Surgeon/Nephrologist to remove DGF data from Post Renal Visit Note</w:t>
      </w:r>
    </w:p>
    <w:p w14:paraId="0A303B39" w14:textId="538483F9" w:rsidR="00A973EE" w:rsidRPr="001476EF" w:rsidRDefault="00036C5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 xml:space="preserve">Transplant team </w:t>
      </w:r>
      <w:r w:rsidR="00A929D5" w:rsidRPr="001476EF">
        <w:rPr>
          <w:rFonts w:ascii="Times New Roman" w:hAnsi="Times New Roman" w:cs="Times New Roman"/>
          <w:sz w:val="24"/>
          <w:szCs w:val="24"/>
        </w:rPr>
        <w:t xml:space="preserve">to ensure </w:t>
      </w:r>
      <w:r w:rsidR="00F34EE8" w:rsidRPr="001476EF">
        <w:rPr>
          <w:rFonts w:ascii="Times New Roman" w:hAnsi="Times New Roman" w:cs="Times New Roman"/>
          <w:sz w:val="24"/>
          <w:szCs w:val="24"/>
        </w:rPr>
        <w:t>medications are appropriate</w:t>
      </w:r>
      <w:r w:rsidR="00FA3B55" w:rsidRPr="001476EF">
        <w:rPr>
          <w:rFonts w:ascii="Times New Roman" w:hAnsi="Times New Roman" w:cs="Times New Roman"/>
          <w:sz w:val="24"/>
          <w:szCs w:val="24"/>
        </w:rPr>
        <w:t>ly</w:t>
      </w:r>
      <w:r w:rsidR="00F34EE8" w:rsidRPr="001476EF">
        <w:rPr>
          <w:rFonts w:ascii="Times New Roman" w:hAnsi="Times New Roman" w:cs="Times New Roman"/>
          <w:sz w:val="24"/>
          <w:szCs w:val="24"/>
        </w:rPr>
        <w:t xml:space="preserve"> dosed and adjusted </w:t>
      </w:r>
    </w:p>
    <w:p w14:paraId="775CC23D" w14:textId="77777777" w:rsidR="00E3752C" w:rsidRPr="00EC71ED" w:rsidRDefault="00E3752C" w:rsidP="00D82ADA"/>
    <w:p w14:paraId="3C948866" w14:textId="77777777" w:rsidR="00F802BC" w:rsidRPr="00EC71ED" w:rsidRDefault="00F802BC" w:rsidP="00D82ADA"/>
    <w:p w14:paraId="2941917D" w14:textId="77777777" w:rsidR="00D31825" w:rsidRPr="00EC71ED" w:rsidRDefault="0018574A" w:rsidP="00D82ADA">
      <w:r w:rsidRPr="00EC71ED">
        <w:rPr>
          <w:b/>
          <w:u w:val="single"/>
        </w:rPr>
        <w:t>RELATED DOCUMENT</w:t>
      </w:r>
      <w:r w:rsidR="00382155" w:rsidRPr="00EC71ED">
        <w:rPr>
          <w:b/>
          <w:u w:val="single"/>
        </w:rPr>
        <w:t>(</w:t>
      </w:r>
      <w:r w:rsidRPr="00EC71ED">
        <w:rPr>
          <w:b/>
          <w:u w:val="single"/>
        </w:rPr>
        <w:t>S</w:t>
      </w:r>
      <w:r w:rsidR="00382155" w:rsidRPr="00EC71ED">
        <w:rPr>
          <w:b/>
          <w:u w:val="single"/>
        </w:rPr>
        <w:t>)/</w:t>
      </w:r>
      <w:r w:rsidR="00C05CA7" w:rsidRPr="00EC71ED">
        <w:rPr>
          <w:b/>
          <w:u w:val="single"/>
        </w:rPr>
        <w:t>LINK(S):</w:t>
      </w:r>
    </w:p>
    <w:p w14:paraId="5377397B" w14:textId="77777777" w:rsidR="0019168D" w:rsidRPr="00EC71ED" w:rsidRDefault="0019168D" w:rsidP="00D82ADA"/>
    <w:p w14:paraId="1FE5120E" w14:textId="77777777" w:rsidR="0077276A" w:rsidRPr="00F64189" w:rsidRDefault="0077276A" w:rsidP="0077276A">
      <w:pPr>
        <w:spacing w:before="100" w:beforeAutospacing="1" w:after="100" w:afterAutospacing="1"/>
        <w:rPr>
          <w:color w:val="000000"/>
        </w:rPr>
      </w:pPr>
      <w:r w:rsidRPr="00F64189">
        <w:rPr>
          <w:color w:val="000000"/>
          <w:sz w:val="27"/>
          <w:szCs w:val="27"/>
        </w:rPr>
        <w:t xml:space="preserve">As part of the QAPI program, policy compliance and </w:t>
      </w:r>
      <w:r w:rsidR="000307EE">
        <w:rPr>
          <w:color w:val="000000"/>
          <w:sz w:val="27"/>
          <w:szCs w:val="27"/>
        </w:rPr>
        <w:t xml:space="preserve">DGF </w:t>
      </w:r>
      <w:r w:rsidRPr="00F64189">
        <w:rPr>
          <w:color w:val="000000"/>
          <w:sz w:val="27"/>
          <w:szCs w:val="27"/>
        </w:rPr>
        <w:t xml:space="preserve">rates for the first twelve months </w:t>
      </w:r>
      <w:r w:rsidR="00330874" w:rsidRPr="00F64189">
        <w:rPr>
          <w:color w:val="000000"/>
          <w:sz w:val="27"/>
          <w:szCs w:val="27"/>
        </w:rPr>
        <w:t>post-transplant</w:t>
      </w:r>
      <w:r w:rsidRPr="00F64189">
        <w:rPr>
          <w:color w:val="000000"/>
          <w:sz w:val="27"/>
          <w:szCs w:val="27"/>
        </w:rPr>
        <w:t xml:space="preserve"> will be reviewed every six months by the transplant program’s clinical leadership</w:t>
      </w:r>
      <w:r w:rsidR="000307EE">
        <w:rPr>
          <w:color w:val="000000"/>
          <w:sz w:val="27"/>
          <w:szCs w:val="27"/>
        </w:rPr>
        <w:t>.</w:t>
      </w:r>
    </w:p>
    <w:p w14:paraId="31F26BEB" w14:textId="77777777" w:rsidR="00A973EE" w:rsidRPr="00EC71ED" w:rsidRDefault="00A973EE" w:rsidP="00D82ADA"/>
    <w:p w14:paraId="3C22DF21" w14:textId="77777777" w:rsidR="00A973EE" w:rsidRPr="00EC71ED" w:rsidRDefault="00A973EE" w:rsidP="00D82ADA"/>
    <w:p w14:paraId="20D6B6C7" w14:textId="77777777" w:rsidR="00A973EE" w:rsidRPr="00EC71ED" w:rsidRDefault="00A973EE" w:rsidP="00D82ADA">
      <w:r w:rsidRPr="00EC71ED">
        <w:rPr>
          <w:b/>
          <w:u w:val="single"/>
        </w:rPr>
        <w:t>REFERENCES AND SOURCES OF EVIDENCE</w:t>
      </w:r>
      <w:r w:rsidR="0019168D" w:rsidRPr="00EC71ED">
        <w:rPr>
          <w:b/>
          <w:u w:val="single"/>
        </w:rPr>
        <w:t>:</w:t>
      </w:r>
    </w:p>
    <w:p w14:paraId="682EB633" w14:textId="77777777" w:rsidR="0019168D" w:rsidRPr="00EC71ED" w:rsidRDefault="0019168D" w:rsidP="00D82ADA"/>
    <w:p w14:paraId="6310AE6C" w14:textId="77777777" w:rsidR="003E080C" w:rsidRDefault="003E080C" w:rsidP="003E080C">
      <w:pPr>
        <w:rPr>
          <w:rStyle w:val="pagelast"/>
          <w:i/>
          <w:iCs/>
        </w:rPr>
      </w:pPr>
      <w:proofErr w:type="spellStart"/>
      <w:r>
        <w:rPr>
          <w:rStyle w:val="author"/>
          <w:i/>
          <w:iCs/>
        </w:rPr>
        <w:t>Harhay</w:t>
      </w:r>
      <w:proofErr w:type="spellEnd"/>
      <w:r>
        <w:rPr>
          <w:rStyle w:val="author"/>
          <w:i/>
          <w:iCs/>
        </w:rPr>
        <w:t xml:space="preserve"> M</w:t>
      </w:r>
      <w:r>
        <w:rPr>
          <w:rStyle w:val="HTMLCite"/>
        </w:rPr>
        <w:t xml:space="preserve">, </w:t>
      </w:r>
      <w:r>
        <w:rPr>
          <w:rStyle w:val="author"/>
          <w:i/>
          <w:iCs/>
        </w:rPr>
        <w:t>Lin E</w:t>
      </w:r>
      <w:r>
        <w:rPr>
          <w:rStyle w:val="HTMLCite"/>
        </w:rPr>
        <w:t xml:space="preserve">, </w:t>
      </w:r>
      <w:proofErr w:type="spellStart"/>
      <w:r>
        <w:rPr>
          <w:rStyle w:val="author"/>
          <w:i/>
          <w:iCs/>
        </w:rPr>
        <w:t>Pai</w:t>
      </w:r>
      <w:proofErr w:type="spellEnd"/>
      <w:r>
        <w:rPr>
          <w:rStyle w:val="author"/>
          <w:i/>
          <w:iCs/>
        </w:rPr>
        <w:t xml:space="preserve"> A</w:t>
      </w:r>
      <w:r>
        <w:rPr>
          <w:rStyle w:val="HTMLCite"/>
        </w:rPr>
        <w:t xml:space="preserve">, et al. </w:t>
      </w:r>
      <w:r>
        <w:rPr>
          <w:rStyle w:val="articletitle"/>
          <w:i/>
          <w:iCs/>
        </w:rPr>
        <w:t xml:space="preserve">Early </w:t>
      </w:r>
      <w:proofErr w:type="spellStart"/>
      <w:r>
        <w:rPr>
          <w:rStyle w:val="articletitle"/>
          <w:i/>
          <w:iCs/>
        </w:rPr>
        <w:t>rehospitalization</w:t>
      </w:r>
      <w:proofErr w:type="spellEnd"/>
      <w:r>
        <w:rPr>
          <w:rStyle w:val="articletitle"/>
          <w:i/>
          <w:iCs/>
        </w:rPr>
        <w:t xml:space="preserve"> after kidney transplantation: Assessing preventability and prognosis</w:t>
      </w:r>
      <w:r>
        <w:rPr>
          <w:rStyle w:val="HTMLCite"/>
        </w:rPr>
        <w:t xml:space="preserve">. </w:t>
      </w:r>
      <w:r>
        <w:rPr>
          <w:rStyle w:val="journaltitle"/>
          <w:i/>
          <w:iCs/>
        </w:rPr>
        <w:t>Am J Transplant</w:t>
      </w:r>
      <w:r>
        <w:rPr>
          <w:rStyle w:val="HTMLCite"/>
        </w:rPr>
        <w:t xml:space="preserve"> </w:t>
      </w:r>
      <w:r>
        <w:rPr>
          <w:rStyle w:val="pubyear"/>
          <w:i/>
          <w:iCs/>
        </w:rPr>
        <w:t>2013</w:t>
      </w:r>
      <w:r>
        <w:rPr>
          <w:rStyle w:val="HTMLCite"/>
        </w:rPr>
        <w:t xml:space="preserve">; </w:t>
      </w:r>
      <w:r>
        <w:rPr>
          <w:rStyle w:val="vol"/>
          <w:i/>
          <w:iCs/>
        </w:rPr>
        <w:t>13</w:t>
      </w:r>
      <w:r>
        <w:rPr>
          <w:rStyle w:val="HTMLCite"/>
        </w:rPr>
        <w:t xml:space="preserve">: </w:t>
      </w:r>
      <w:r>
        <w:rPr>
          <w:rStyle w:val="pagefirst"/>
          <w:i/>
          <w:iCs/>
        </w:rPr>
        <w:t>3164</w:t>
      </w:r>
      <w:r>
        <w:rPr>
          <w:rStyle w:val="HTMLCite"/>
        </w:rPr>
        <w:t>–</w:t>
      </w:r>
      <w:r>
        <w:rPr>
          <w:rStyle w:val="pagelast"/>
          <w:i/>
          <w:iCs/>
        </w:rPr>
        <w:t>3172</w:t>
      </w:r>
    </w:p>
    <w:p w14:paraId="120054A8" w14:textId="77777777" w:rsidR="00354A38" w:rsidRDefault="00354A38" w:rsidP="003E080C"/>
    <w:p w14:paraId="31BC6854" w14:textId="77777777" w:rsidR="00354A38" w:rsidRDefault="00354A38" w:rsidP="00354A38">
      <w:proofErr w:type="spellStart"/>
      <w:r>
        <w:rPr>
          <w:rStyle w:val="author"/>
          <w:i/>
          <w:iCs/>
        </w:rPr>
        <w:lastRenderedPageBreak/>
        <w:t>Yarlagadda</w:t>
      </w:r>
      <w:proofErr w:type="spellEnd"/>
      <w:r>
        <w:rPr>
          <w:rStyle w:val="author"/>
          <w:i/>
          <w:iCs/>
        </w:rPr>
        <w:t xml:space="preserve"> SG</w:t>
      </w:r>
      <w:r>
        <w:rPr>
          <w:rStyle w:val="HTMLCite"/>
        </w:rPr>
        <w:t xml:space="preserve">, </w:t>
      </w:r>
      <w:r>
        <w:rPr>
          <w:rStyle w:val="author"/>
          <w:i/>
          <w:iCs/>
        </w:rPr>
        <w:t>Coca SG</w:t>
      </w:r>
      <w:r>
        <w:rPr>
          <w:rStyle w:val="HTMLCite"/>
        </w:rPr>
        <w:t xml:space="preserve">, </w:t>
      </w:r>
      <w:r>
        <w:rPr>
          <w:rStyle w:val="author"/>
          <w:i/>
          <w:iCs/>
        </w:rPr>
        <w:t>Formica RN</w:t>
      </w:r>
      <w:r>
        <w:rPr>
          <w:rStyle w:val="HTMLCite"/>
        </w:rPr>
        <w:t xml:space="preserve">, </w:t>
      </w:r>
      <w:proofErr w:type="spellStart"/>
      <w:r>
        <w:rPr>
          <w:rStyle w:val="author"/>
          <w:i/>
          <w:iCs/>
        </w:rPr>
        <w:t>Poggio</w:t>
      </w:r>
      <w:proofErr w:type="spellEnd"/>
      <w:r>
        <w:rPr>
          <w:rStyle w:val="author"/>
          <w:i/>
          <w:iCs/>
        </w:rPr>
        <w:t xml:space="preserve"> ED</w:t>
      </w:r>
      <w:r>
        <w:rPr>
          <w:rStyle w:val="HTMLCite"/>
        </w:rPr>
        <w:t xml:space="preserve">, </w:t>
      </w:r>
      <w:r>
        <w:rPr>
          <w:rStyle w:val="author"/>
          <w:i/>
          <w:iCs/>
        </w:rPr>
        <w:t>Parikh CR</w:t>
      </w:r>
      <w:r>
        <w:rPr>
          <w:rStyle w:val="HTMLCite"/>
        </w:rPr>
        <w:t xml:space="preserve">. </w:t>
      </w:r>
      <w:r>
        <w:rPr>
          <w:rStyle w:val="articletitle"/>
          <w:i/>
          <w:iCs/>
        </w:rPr>
        <w:t xml:space="preserve">Association between delayed graft function and allograft and patient survival: A systematic review and </w:t>
      </w:r>
      <w:proofErr w:type="spellStart"/>
      <w:r>
        <w:rPr>
          <w:rStyle w:val="articletitle"/>
          <w:i/>
          <w:iCs/>
        </w:rPr>
        <w:t>meta analysis</w:t>
      </w:r>
      <w:proofErr w:type="spellEnd"/>
      <w:r>
        <w:rPr>
          <w:rStyle w:val="HTMLCite"/>
        </w:rPr>
        <w:t xml:space="preserve">. </w:t>
      </w:r>
      <w:proofErr w:type="spellStart"/>
      <w:r>
        <w:rPr>
          <w:rStyle w:val="journaltitle"/>
          <w:i/>
          <w:iCs/>
        </w:rPr>
        <w:t>Nephrol</w:t>
      </w:r>
      <w:proofErr w:type="spellEnd"/>
      <w:r>
        <w:rPr>
          <w:rStyle w:val="journaltitle"/>
          <w:i/>
          <w:iCs/>
        </w:rPr>
        <w:t xml:space="preserve"> Dial Transplant</w:t>
      </w:r>
      <w:r>
        <w:rPr>
          <w:rStyle w:val="HTMLCite"/>
        </w:rPr>
        <w:t xml:space="preserve"> </w:t>
      </w:r>
      <w:r>
        <w:rPr>
          <w:rStyle w:val="pubyear"/>
          <w:i/>
          <w:iCs/>
        </w:rPr>
        <w:t>2009</w:t>
      </w:r>
      <w:r>
        <w:rPr>
          <w:rStyle w:val="HTMLCite"/>
        </w:rPr>
        <w:t xml:space="preserve">; </w:t>
      </w:r>
      <w:r>
        <w:rPr>
          <w:rStyle w:val="vol"/>
          <w:i/>
          <w:iCs/>
        </w:rPr>
        <w:t>24</w:t>
      </w:r>
      <w:r>
        <w:rPr>
          <w:rStyle w:val="HTMLCite"/>
        </w:rPr>
        <w:t xml:space="preserve">: </w:t>
      </w:r>
      <w:r>
        <w:rPr>
          <w:rStyle w:val="pagefirst"/>
          <w:i/>
          <w:iCs/>
        </w:rPr>
        <w:t>1039</w:t>
      </w:r>
      <w:r>
        <w:rPr>
          <w:rStyle w:val="HTMLCite"/>
        </w:rPr>
        <w:t>–</w:t>
      </w:r>
      <w:r>
        <w:rPr>
          <w:rStyle w:val="pagelast"/>
          <w:i/>
          <w:iCs/>
        </w:rPr>
        <w:t>1047</w:t>
      </w:r>
    </w:p>
    <w:p w14:paraId="23FB3A4E" w14:textId="77777777" w:rsidR="005E39CF" w:rsidRDefault="005E39CF" w:rsidP="00D82ADA"/>
    <w:p w14:paraId="77F8895D" w14:textId="77777777" w:rsidR="0016323D" w:rsidRDefault="0016323D" w:rsidP="0016323D">
      <w:proofErr w:type="spellStart"/>
      <w:r>
        <w:rPr>
          <w:rStyle w:val="author"/>
          <w:i/>
          <w:iCs/>
        </w:rPr>
        <w:t>Kasiske</w:t>
      </w:r>
      <w:proofErr w:type="spellEnd"/>
      <w:r>
        <w:rPr>
          <w:rStyle w:val="author"/>
          <w:i/>
          <w:iCs/>
        </w:rPr>
        <w:t xml:space="preserve"> B</w:t>
      </w:r>
      <w:r>
        <w:rPr>
          <w:rStyle w:val="HTMLCite"/>
        </w:rPr>
        <w:t xml:space="preserve">, </w:t>
      </w:r>
      <w:proofErr w:type="spellStart"/>
      <w:r>
        <w:rPr>
          <w:rStyle w:val="author"/>
          <w:i/>
          <w:iCs/>
        </w:rPr>
        <w:t>Zeier</w:t>
      </w:r>
      <w:proofErr w:type="spellEnd"/>
      <w:r>
        <w:rPr>
          <w:rStyle w:val="author"/>
          <w:i/>
          <w:iCs/>
        </w:rPr>
        <w:t xml:space="preserve"> M</w:t>
      </w:r>
      <w:r>
        <w:rPr>
          <w:rStyle w:val="HTMLCite"/>
        </w:rPr>
        <w:t xml:space="preserve">, </w:t>
      </w:r>
      <w:r>
        <w:rPr>
          <w:rStyle w:val="author"/>
          <w:i/>
          <w:iCs/>
        </w:rPr>
        <w:t>Chapman J</w:t>
      </w:r>
      <w:r>
        <w:rPr>
          <w:rStyle w:val="HTMLCite"/>
        </w:rPr>
        <w:t xml:space="preserve">, et al. </w:t>
      </w:r>
      <w:r>
        <w:rPr>
          <w:rStyle w:val="articletitle"/>
          <w:i/>
          <w:iCs/>
        </w:rPr>
        <w:t>KDIGO clinical practice guideline for the care of kidney transplant recipients: A summary</w:t>
      </w:r>
      <w:r>
        <w:rPr>
          <w:rStyle w:val="HTMLCite"/>
        </w:rPr>
        <w:t xml:space="preserve">. </w:t>
      </w:r>
      <w:r>
        <w:rPr>
          <w:rStyle w:val="journaltitle"/>
          <w:i/>
          <w:iCs/>
        </w:rPr>
        <w:t xml:space="preserve">Kidney </w:t>
      </w:r>
      <w:proofErr w:type="spellStart"/>
      <w:r>
        <w:rPr>
          <w:rStyle w:val="journaltitle"/>
          <w:i/>
          <w:iCs/>
        </w:rPr>
        <w:t>Int</w:t>
      </w:r>
      <w:proofErr w:type="spellEnd"/>
      <w:r>
        <w:rPr>
          <w:rStyle w:val="HTMLCite"/>
        </w:rPr>
        <w:t xml:space="preserve"> </w:t>
      </w:r>
      <w:r>
        <w:rPr>
          <w:rStyle w:val="pubyear"/>
          <w:i/>
          <w:iCs/>
        </w:rPr>
        <w:t>2010</w:t>
      </w:r>
      <w:r>
        <w:rPr>
          <w:rStyle w:val="HTMLCite"/>
        </w:rPr>
        <w:t xml:space="preserve">; </w:t>
      </w:r>
      <w:r>
        <w:rPr>
          <w:rStyle w:val="vol"/>
          <w:i/>
          <w:iCs/>
        </w:rPr>
        <w:t>77</w:t>
      </w:r>
      <w:r>
        <w:rPr>
          <w:rStyle w:val="HTMLCite"/>
        </w:rPr>
        <w:t xml:space="preserve">: </w:t>
      </w:r>
      <w:r>
        <w:rPr>
          <w:rStyle w:val="pagefirst"/>
          <w:i/>
          <w:iCs/>
        </w:rPr>
        <w:t>299</w:t>
      </w:r>
      <w:r>
        <w:rPr>
          <w:rStyle w:val="HTMLCite"/>
        </w:rPr>
        <w:t>–</w:t>
      </w:r>
      <w:r>
        <w:rPr>
          <w:rStyle w:val="pagelast"/>
          <w:i/>
          <w:iCs/>
        </w:rPr>
        <w:t>311</w:t>
      </w:r>
    </w:p>
    <w:p w14:paraId="14BABC7C" w14:textId="77777777" w:rsidR="0016323D" w:rsidRPr="00EC71ED" w:rsidRDefault="0016323D" w:rsidP="00D82ADA"/>
    <w:p w14:paraId="5ADD92B9" w14:textId="77777777" w:rsidR="00A973EE" w:rsidRPr="00EC71ED" w:rsidRDefault="005E39CF" w:rsidP="00D82ADA">
      <w:pPr>
        <w:rPr>
          <w:b/>
          <w:u w:val="single"/>
        </w:rPr>
      </w:pPr>
      <w:r w:rsidRPr="00EC71ED">
        <w:rPr>
          <w:b/>
          <w:u w:val="single"/>
        </w:rPr>
        <w:t>KEY WORDS:</w:t>
      </w:r>
    </w:p>
    <w:p w14:paraId="0152AD76" w14:textId="77777777" w:rsidR="005E39CF" w:rsidRPr="00EC71ED" w:rsidRDefault="005E39CF" w:rsidP="00D82ADA">
      <w:pPr>
        <w:rPr>
          <w:b/>
          <w:u w:val="single"/>
        </w:rPr>
      </w:pPr>
    </w:p>
    <w:p w14:paraId="5BD52AB5" w14:textId="77777777" w:rsidR="005E39CF" w:rsidRPr="00EC71ED" w:rsidRDefault="005E39CF" w:rsidP="00D82ADA">
      <w:pPr>
        <w:rPr>
          <w:b/>
          <w:u w:val="single"/>
        </w:rPr>
      </w:pPr>
    </w:p>
    <w:p w14:paraId="1BD44D5B" w14:textId="77777777" w:rsidR="00DB6E7A" w:rsidRPr="00EC71ED" w:rsidRDefault="00DB6E7A" w:rsidP="00D82ADA"/>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925"/>
        <w:gridCol w:w="4845"/>
      </w:tblGrid>
      <w:tr w:rsidR="00BE1C28" w:rsidRPr="00EC71ED" w14:paraId="66C66384" w14:textId="77777777" w:rsidTr="00BE1C28">
        <w:tc>
          <w:tcPr>
            <w:tcW w:w="10770" w:type="dxa"/>
            <w:gridSpan w:val="2"/>
            <w:tcBorders>
              <w:bottom w:val="nil"/>
            </w:tcBorders>
          </w:tcPr>
          <w:p w14:paraId="3AA854B4" w14:textId="77777777" w:rsidR="00BE1C28" w:rsidRPr="00EC71ED" w:rsidRDefault="00233309" w:rsidP="0079159D">
            <w:pPr>
              <w:spacing w:before="60" w:after="20"/>
              <w:rPr>
                <w:u w:val="single"/>
              </w:rPr>
            </w:pPr>
            <w:r w:rsidRPr="00EC71ED">
              <w:rPr>
                <w:b/>
                <w:u w:val="single"/>
              </w:rPr>
              <w:t>REVIEW/</w:t>
            </w:r>
            <w:r w:rsidR="00BE1C28" w:rsidRPr="00EC71ED">
              <w:rPr>
                <w:b/>
                <w:u w:val="single"/>
              </w:rPr>
              <w:t>APPROVAL SUMMARY:</w:t>
            </w:r>
            <w:r w:rsidR="00BE1C28" w:rsidRPr="00EC71ED">
              <w:rPr>
                <w:u w:val="single"/>
              </w:rPr>
              <w:t xml:space="preserve"> </w:t>
            </w:r>
          </w:p>
        </w:tc>
      </w:tr>
      <w:tr w:rsidR="00576F37" w:rsidRPr="00EC71ED" w14:paraId="57166F44" w14:textId="77777777" w:rsidTr="00150BDD">
        <w:trPr>
          <w:trHeight w:val="702"/>
        </w:trPr>
        <w:tc>
          <w:tcPr>
            <w:tcW w:w="10770" w:type="dxa"/>
            <w:gridSpan w:val="2"/>
            <w:tcBorders>
              <w:top w:val="nil"/>
            </w:tcBorders>
          </w:tcPr>
          <w:p w14:paraId="63E4AEE5" w14:textId="77777777" w:rsidR="00576F37" w:rsidRPr="00EC71ED" w:rsidRDefault="00576F37" w:rsidP="00D877F7">
            <w:pPr>
              <w:spacing w:before="60"/>
            </w:pPr>
            <w:r w:rsidRPr="00EC71ED">
              <w:rPr>
                <w:b/>
              </w:rPr>
              <w:t>APPROVAL BODY/BODIES:</w:t>
            </w:r>
            <w:r w:rsidRPr="00EC71ED">
              <w:t xml:space="preserve"> </w:t>
            </w:r>
          </w:p>
        </w:tc>
      </w:tr>
      <w:tr w:rsidR="00BE1C28" w:rsidRPr="00EC71ED" w14:paraId="51A6E748" w14:textId="77777777" w:rsidTr="00DB6E7A">
        <w:tc>
          <w:tcPr>
            <w:tcW w:w="5925" w:type="dxa"/>
          </w:tcPr>
          <w:p w14:paraId="12B76902" w14:textId="77777777" w:rsidR="00BE1C28" w:rsidRPr="00EC71ED" w:rsidRDefault="00233309" w:rsidP="00233309">
            <w:pPr>
              <w:spacing w:before="60" w:after="20"/>
            </w:pPr>
            <w:r w:rsidRPr="00EC71ED">
              <w:rPr>
                <w:b/>
              </w:rPr>
              <w:t>REVIEW/</w:t>
            </w:r>
            <w:r w:rsidR="00BE1C28" w:rsidRPr="00EC71ED">
              <w:rPr>
                <w:b/>
              </w:rPr>
              <w:t>REVISION DATES:</w:t>
            </w:r>
            <w:r w:rsidR="00BE1C28" w:rsidRPr="00EC71ED">
              <w:t xml:space="preserve"> </w:t>
            </w:r>
          </w:p>
        </w:tc>
        <w:tc>
          <w:tcPr>
            <w:tcW w:w="4845" w:type="dxa"/>
          </w:tcPr>
          <w:p w14:paraId="21443B62" w14:textId="77777777" w:rsidR="00BE1C28" w:rsidRPr="00EC71ED" w:rsidRDefault="00BE1C28" w:rsidP="00D877F7">
            <w:pPr>
              <w:spacing w:before="60" w:after="20"/>
            </w:pPr>
            <w:r w:rsidRPr="00EC71ED">
              <w:rPr>
                <w:b/>
              </w:rPr>
              <w:t>APPROVAL DATE:</w:t>
            </w:r>
            <w:r w:rsidRPr="00EC71ED">
              <w:t xml:space="preserve"> </w:t>
            </w:r>
          </w:p>
        </w:tc>
      </w:tr>
    </w:tbl>
    <w:p w14:paraId="0B039658" w14:textId="77777777" w:rsidR="00246CC9" w:rsidRPr="00EC71ED" w:rsidRDefault="00246CC9" w:rsidP="00D82ADA"/>
    <w:sectPr w:rsidR="00246CC9" w:rsidRPr="00EC71ED" w:rsidSect="00D82ADA">
      <w:headerReference w:type="default" r:id="rId7"/>
      <w:footerReference w:type="default" r:id="rId8"/>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679F5F" w16cid:durableId="1E922C0C"/>
  <w16cid:commentId w16cid:paraId="6859F273" w16cid:durableId="1E922D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98782" w14:textId="77777777" w:rsidR="00410310" w:rsidRDefault="00410310" w:rsidP="00401E3E">
      <w:r>
        <w:separator/>
      </w:r>
    </w:p>
  </w:endnote>
  <w:endnote w:type="continuationSeparator" w:id="0">
    <w:p w14:paraId="1D819A5D" w14:textId="77777777" w:rsidR="00410310" w:rsidRDefault="00410310" w:rsidP="0040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E3F83" w14:textId="77777777" w:rsidR="00401E3E" w:rsidRPr="00246CC9" w:rsidRDefault="00120DE3" w:rsidP="00120DE3">
    <w:pPr>
      <w:pStyle w:val="Footer"/>
      <w:tabs>
        <w:tab w:val="clear" w:pos="4680"/>
        <w:tab w:val="clear" w:pos="9360"/>
        <w:tab w:val="right" w:pos="10368"/>
      </w:tabs>
      <w:rPr>
        <w:rFonts w:ascii="Arial" w:hAnsi="Arial" w:cs="Arial"/>
        <w:sz w:val="16"/>
        <w:szCs w:val="16"/>
      </w:rPr>
    </w:pPr>
    <w:r w:rsidRPr="00246CC9">
      <w:rPr>
        <w:rFonts w:ascii="Arial" w:hAnsi="Arial" w:cs="Arial"/>
        <w:sz w:val="16"/>
        <w:szCs w:val="16"/>
      </w:rPr>
      <w:t>P</w:t>
    </w:r>
    <w:r w:rsidR="00611775">
      <w:rPr>
        <w:rFonts w:ascii="Arial" w:hAnsi="Arial" w:cs="Arial"/>
        <w:sz w:val="16"/>
        <w:szCs w:val="16"/>
      </w:rPr>
      <w:t>ROCEDURE</w:t>
    </w:r>
    <w:r w:rsidR="001E3490">
      <w:rPr>
        <w:rFonts w:ascii="Arial" w:hAnsi="Arial" w:cs="Arial"/>
        <w:sz w:val="16"/>
        <w:szCs w:val="16"/>
      </w:rPr>
      <w:t>/GUIDELINE</w:t>
    </w:r>
    <w:r w:rsidRPr="00246CC9">
      <w:rPr>
        <w:rFonts w:ascii="Arial" w:hAnsi="Arial" w:cs="Arial"/>
        <w:sz w:val="16"/>
        <w:szCs w:val="16"/>
      </w:rPr>
      <w:t xml:space="preserve"> TITLE</w:t>
    </w:r>
    <w:r w:rsidRPr="00246CC9">
      <w:rPr>
        <w:rFonts w:ascii="Arial" w:hAnsi="Arial" w:cs="Arial"/>
        <w:sz w:val="16"/>
        <w:szCs w:val="16"/>
      </w:rPr>
      <w:tab/>
    </w:r>
    <w:r w:rsidR="00246CC9" w:rsidRPr="00246CC9">
      <w:rPr>
        <w:rFonts w:ascii="Arial" w:hAnsi="Arial" w:cs="Arial"/>
        <w:sz w:val="16"/>
      </w:rPr>
      <w:fldChar w:fldCharType="begin"/>
    </w:r>
    <w:r w:rsidR="00246CC9" w:rsidRPr="00246CC9">
      <w:rPr>
        <w:rFonts w:ascii="Arial" w:hAnsi="Arial" w:cs="Arial"/>
        <w:sz w:val="16"/>
      </w:rPr>
      <w:instrText xml:space="preserve"> PAGE  \* MERGEFORMAT </w:instrText>
    </w:r>
    <w:r w:rsidR="00246CC9" w:rsidRPr="00246CC9">
      <w:rPr>
        <w:rFonts w:ascii="Arial" w:hAnsi="Arial" w:cs="Arial"/>
        <w:sz w:val="16"/>
      </w:rPr>
      <w:fldChar w:fldCharType="separate"/>
    </w:r>
    <w:r w:rsidR="005F7451">
      <w:rPr>
        <w:rFonts w:ascii="Arial" w:hAnsi="Arial" w:cs="Arial"/>
        <w:noProof/>
        <w:sz w:val="16"/>
      </w:rPr>
      <w:t>1</w:t>
    </w:r>
    <w:r w:rsidR="00246CC9" w:rsidRPr="00246CC9">
      <w:rPr>
        <w:rFonts w:ascii="Arial" w:hAnsi="Arial" w:cs="Arial"/>
        <w:sz w:val="16"/>
      </w:rPr>
      <w:fldChar w:fldCharType="end"/>
    </w:r>
    <w:r w:rsidR="00246CC9" w:rsidRPr="00246CC9">
      <w:rPr>
        <w:rFonts w:ascii="Arial" w:hAnsi="Arial" w:cs="Arial"/>
        <w:sz w:val="16"/>
      </w:rPr>
      <w:t xml:space="preserve"> of </w:t>
    </w:r>
    <w:r w:rsidR="00246CC9" w:rsidRPr="00246CC9">
      <w:rPr>
        <w:rFonts w:ascii="Arial" w:hAnsi="Arial" w:cs="Arial"/>
        <w:sz w:val="16"/>
      </w:rPr>
      <w:fldChar w:fldCharType="begin"/>
    </w:r>
    <w:r w:rsidR="00246CC9" w:rsidRPr="00246CC9">
      <w:rPr>
        <w:rFonts w:ascii="Arial" w:hAnsi="Arial" w:cs="Arial"/>
        <w:sz w:val="16"/>
      </w:rPr>
      <w:instrText xml:space="preserve"> NUMPAGES  \* MERGEFORMAT </w:instrText>
    </w:r>
    <w:r w:rsidR="00246CC9" w:rsidRPr="00246CC9">
      <w:rPr>
        <w:rFonts w:ascii="Arial" w:hAnsi="Arial" w:cs="Arial"/>
        <w:sz w:val="16"/>
      </w:rPr>
      <w:fldChar w:fldCharType="separate"/>
    </w:r>
    <w:r w:rsidR="005F7451">
      <w:rPr>
        <w:rFonts w:ascii="Arial" w:hAnsi="Arial" w:cs="Arial"/>
        <w:noProof/>
        <w:sz w:val="16"/>
      </w:rPr>
      <w:t>3</w:t>
    </w:r>
    <w:r w:rsidR="00246CC9" w:rsidRPr="00246CC9">
      <w:rPr>
        <w:rFonts w:ascii="Arial" w:hAnsi="Arial" w:cs="Arial"/>
        <w:sz w:val="16"/>
      </w:rPr>
      <w:fldChar w:fldCharType="end"/>
    </w:r>
    <w:r w:rsidR="00611775">
      <w:rPr>
        <w:rFonts w:ascii="Arial" w:hAnsi="Arial" w:cs="Arial"/>
        <w:sz w:val="16"/>
      </w:rPr>
      <w:t xml:space="preserve">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60D14" w14:textId="77777777" w:rsidR="00410310" w:rsidRDefault="00410310" w:rsidP="00401E3E">
      <w:r>
        <w:separator/>
      </w:r>
    </w:p>
  </w:footnote>
  <w:footnote w:type="continuationSeparator" w:id="0">
    <w:p w14:paraId="234475B7" w14:textId="77777777" w:rsidR="00410310" w:rsidRDefault="00410310" w:rsidP="00401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7C820" w14:textId="77777777" w:rsidR="00401E3E" w:rsidRPr="00120DE3" w:rsidRDefault="005F7451" w:rsidP="00120DE3">
    <w:pPr>
      <w:rPr>
        <w:rFonts w:ascii="Arial" w:hAnsi="Arial" w:cs="Arial"/>
      </w:rPr>
    </w:pPr>
    <w:sdt>
      <w:sdtPr>
        <w:id w:val="240611505"/>
        <w:docPartObj>
          <w:docPartGallery w:val="Watermarks"/>
          <w:docPartUnique/>
        </w:docPartObj>
      </w:sdtPr>
      <w:sdtEndPr/>
      <w:sdtContent>
        <w:r>
          <w:rPr>
            <w:noProof/>
          </w:rPr>
          <w:pict w14:anchorId="1F80DD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401E3E" w:rsidRPr="00120DE3">
      <w:rPr>
        <w:noProof/>
      </w:rPr>
      <w:drawing>
        <wp:inline distT="0" distB="0" distL="0" distR="0" wp14:anchorId="4037ABC0" wp14:editId="32C4CC4D">
          <wp:extent cx="1286540" cy="446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756" cy="456973"/>
                  </a:xfrm>
                  <a:prstGeom prst="rect">
                    <a:avLst/>
                  </a:prstGeom>
                  <a:noFill/>
                </pic:spPr>
              </pic:pic>
            </a:graphicData>
          </a:graphic>
        </wp:inline>
      </w:drawing>
    </w:r>
  </w:p>
  <w:p w14:paraId="3B556990" w14:textId="77777777" w:rsidR="00401E3E" w:rsidRPr="00120DE3" w:rsidRDefault="00401E3E">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82C50"/>
    <w:multiLevelType w:val="hybridMultilevel"/>
    <w:tmpl w:val="623AE65E"/>
    <w:lvl w:ilvl="0" w:tplc="4BA4250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004EAF"/>
    <w:multiLevelType w:val="hybridMultilevel"/>
    <w:tmpl w:val="93AA63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EB392C"/>
    <w:multiLevelType w:val="hybridMultilevel"/>
    <w:tmpl w:val="040ED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895FA1"/>
    <w:multiLevelType w:val="hybridMultilevel"/>
    <w:tmpl w:val="65EEC7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3832AF"/>
    <w:multiLevelType w:val="hybridMultilevel"/>
    <w:tmpl w:val="2B8AAF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581088"/>
    <w:multiLevelType w:val="hybridMultilevel"/>
    <w:tmpl w:val="C004E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200363"/>
    <w:multiLevelType w:val="hybridMultilevel"/>
    <w:tmpl w:val="D6FAAF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91C12F2"/>
    <w:multiLevelType w:val="hybridMultilevel"/>
    <w:tmpl w:val="FEFA7DE6"/>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8" w15:restartNumberingAfterBreak="0">
    <w:nsid w:val="765F76C8"/>
    <w:multiLevelType w:val="hybridMultilevel"/>
    <w:tmpl w:val="623AE65E"/>
    <w:lvl w:ilvl="0" w:tplc="4BA4250A">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B007104"/>
    <w:multiLevelType w:val="hybridMultilevel"/>
    <w:tmpl w:val="E9D4FD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E649D2"/>
    <w:multiLevelType w:val="hybridMultilevel"/>
    <w:tmpl w:val="7B4C9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4"/>
  </w:num>
  <w:num w:numId="5">
    <w:abstractNumId w:val="3"/>
  </w:num>
  <w:num w:numId="6">
    <w:abstractNumId w:val="6"/>
  </w:num>
  <w:num w:numId="7">
    <w:abstractNumId w:val="1"/>
  </w:num>
  <w:num w:numId="8">
    <w:abstractNumId w:val="0"/>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DA"/>
    <w:rsid w:val="000307EE"/>
    <w:rsid w:val="00036C5E"/>
    <w:rsid w:val="0007395E"/>
    <w:rsid w:val="000C3E8B"/>
    <w:rsid w:val="000E11BF"/>
    <w:rsid w:val="00120DE3"/>
    <w:rsid w:val="00132810"/>
    <w:rsid w:val="0013307C"/>
    <w:rsid w:val="001476EF"/>
    <w:rsid w:val="00150BDD"/>
    <w:rsid w:val="0015735D"/>
    <w:rsid w:val="0016323D"/>
    <w:rsid w:val="001644D7"/>
    <w:rsid w:val="001851D3"/>
    <w:rsid w:val="0018574A"/>
    <w:rsid w:val="0019168D"/>
    <w:rsid w:val="001921CD"/>
    <w:rsid w:val="001E3490"/>
    <w:rsid w:val="001F67AA"/>
    <w:rsid w:val="002208A1"/>
    <w:rsid w:val="00233309"/>
    <w:rsid w:val="00246CC9"/>
    <w:rsid w:val="00254BBE"/>
    <w:rsid w:val="00263D73"/>
    <w:rsid w:val="002911DD"/>
    <w:rsid w:val="002D4626"/>
    <w:rsid w:val="00330874"/>
    <w:rsid w:val="00354A38"/>
    <w:rsid w:val="00382155"/>
    <w:rsid w:val="003A4628"/>
    <w:rsid w:val="003E080C"/>
    <w:rsid w:val="00401E3E"/>
    <w:rsid w:val="00410310"/>
    <w:rsid w:val="0043150A"/>
    <w:rsid w:val="00431B3C"/>
    <w:rsid w:val="004B276A"/>
    <w:rsid w:val="00503902"/>
    <w:rsid w:val="00530F75"/>
    <w:rsid w:val="005346FC"/>
    <w:rsid w:val="005470D3"/>
    <w:rsid w:val="00576F37"/>
    <w:rsid w:val="005819A1"/>
    <w:rsid w:val="005E39CF"/>
    <w:rsid w:val="005E6157"/>
    <w:rsid w:val="005F1550"/>
    <w:rsid w:val="005F7451"/>
    <w:rsid w:val="00611775"/>
    <w:rsid w:val="00637554"/>
    <w:rsid w:val="00734CC6"/>
    <w:rsid w:val="00740467"/>
    <w:rsid w:val="0077276A"/>
    <w:rsid w:val="0079159D"/>
    <w:rsid w:val="007C72B5"/>
    <w:rsid w:val="00803A49"/>
    <w:rsid w:val="00823226"/>
    <w:rsid w:val="008241EB"/>
    <w:rsid w:val="00947A0D"/>
    <w:rsid w:val="009B0A2A"/>
    <w:rsid w:val="009F5419"/>
    <w:rsid w:val="00A03BB9"/>
    <w:rsid w:val="00A929D5"/>
    <w:rsid w:val="00A96893"/>
    <w:rsid w:val="00A973EE"/>
    <w:rsid w:val="00B117BE"/>
    <w:rsid w:val="00B151A5"/>
    <w:rsid w:val="00B33F1F"/>
    <w:rsid w:val="00B530AC"/>
    <w:rsid w:val="00BC397B"/>
    <w:rsid w:val="00BE1C28"/>
    <w:rsid w:val="00C05CA7"/>
    <w:rsid w:val="00C6578D"/>
    <w:rsid w:val="00C844CB"/>
    <w:rsid w:val="00CD0BC0"/>
    <w:rsid w:val="00D31825"/>
    <w:rsid w:val="00D82ADA"/>
    <w:rsid w:val="00D877F7"/>
    <w:rsid w:val="00D97FDC"/>
    <w:rsid w:val="00DB6E7A"/>
    <w:rsid w:val="00E257A4"/>
    <w:rsid w:val="00E3752C"/>
    <w:rsid w:val="00E80A5E"/>
    <w:rsid w:val="00EC0A28"/>
    <w:rsid w:val="00EC2D1E"/>
    <w:rsid w:val="00EC71ED"/>
    <w:rsid w:val="00EF43AD"/>
    <w:rsid w:val="00F34EE8"/>
    <w:rsid w:val="00F444B1"/>
    <w:rsid w:val="00F639F4"/>
    <w:rsid w:val="00F7188F"/>
    <w:rsid w:val="00F747D4"/>
    <w:rsid w:val="00F802BC"/>
    <w:rsid w:val="00F9095C"/>
    <w:rsid w:val="00FA3B55"/>
    <w:rsid w:val="00FA7B2B"/>
    <w:rsid w:val="00FC0737"/>
    <w:rsid w:val="00FD45A9"/>
    <w:rsid w:val="00FF270D"/>
    <w:rsid w:val="00FF3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35FE8B"/>
  <w15:docId w15:val="{F2CC1EF1-C69E-4A5A-93C9-DCBCB6E0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1E3E"/>
    <w:pPr>
      <w:tabs>
        <w:tab w:val="center" w:pos="4680"/>
        <w:tab w:val="right" w:pos="9360"/>
      </w:tabs>
    </w:pPr>
  </w:style>
  <w:style w:type="character" w:customStyle="1" w:styleId="HeaderChar">
    <w:name w:val="Header Char"/>
    <w:basedOn w:val="DefaultParagraphFont"/>
    <w:link w:val="Header"/>
    <w:uiPriority w:val="99"/>
    <w:rsid w:val="00401E3E"/>
    <w:rPr>
      <w:sz w:val="24"/>
      <w:szCs w:val="24"/>
    </w:rPr>
  </w:style>
  <w:style w:type="paragraph" w:styleId="Footer">
    <w:name w:val="footer"/>
    <w:basedOn w:val="Normal"/>
    <w:link w:val="FooterChar"/>
    <w:uiPriority w:val="99"/>
    <w:rsid w:val="00401E3E"/>
    <w:pPr>
      <w:tabs>
        <w:tab w:val="center" w:pos="4680"/>
        <w:tab w:val="right" w:pos="9360"/>
      </w:tabs>
    </w:pPr>
  </w:style>
  <w:style w:type="character" w:customStyle="1" w:styleId="FooterChar">
    <w:name w:val="Footer Char"/>
    <w:basedOn w:val="DefaultParagraphFont"/>
    <w:link w:val="Footer"/>
    <w:uiPriority w:val="99"/>
    <w:rsid w:val="00401E3E"/>
    <w:rPr>
      <w:sz w:val="24"/>
      <w:szCs w:val="24"/>
    </w:rPr>
  </w:style>
  <w:style w:type="paragraph" w:styleId="BalloonText">
    <w:name w:val="Balloon Text"/>
    <w:basedOn w:val="Normal"/>
    <w:link w:val="BalloonTextChar"/>
    <w:rsid w:val="0007395E"/>
    <w:rPr>
      <w:rFonts w:ascii="Segoe UI" w:hAnsi="Segoe UI" w:cs="Segoe UI"/>
      <w:sz w:val="18"/>
      <w:szCs w:val="18"/>
    </w:rPr>
  </w:style>
  <w:style w:type="character" w:customStyle="1" w:styleId="BalloonTextChar">
    <w:name w:val="Balloon Text Char"/>
    <w:basedOn w:val="DefaultParagraphFont"/>
    <w:link w:val="BalloonText"/>
    <w:rsid w:val="0007395E"/>
    <w:rPr>
      <w:rFonts w:ascii="Segoe UI" w:hAnsi="Segoe UI" w:cs="Segoe UI"/>
      <w:sz w:val="18"/>
      <w:szCs w:val="18"/>
    </w:rPr>
  </w:style>
  <w:style w:type="paragraph" w:styleId="ListParagraph">
    <w:name w:val="List Paragraph"/>
    <w:basedOn w:val="Normal"/>
    <w:uiPriority w:val="34"/>
    <w:qFormat/>
    <w:rsid w:val="00A929D5"/>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03A49"/>
    <w:rPr>
      <w:color w:val="0000FF"/>
      <w:u w:val="single"/>
    </w:rPr>
  </w:style>
  <w:style w:type="paragraph" w:styleId="NormalWeb">
    <w:name w:val="Normal (Web)"/>
    <w:basedOn w:val="Normal"/>
    <w:uiPriority w:val="99"/>
    <w:unhideWhenUsed/>
    <w:rsid w:val="00F639F4"/>
    <w:pPr>
      <w:spacing w:before="100" w:beforeAutospacing="1" w:after="100" w:afterAutospacing="1"/>
    </w:pPr>
    <w:rPr>
      <w:rFonts w:eastAsiaTheme="minorEastAsia"/>
    </w:rPr>
  </w:style>
  <w:style w:type="character" w:styleId="HTMLCite">
    <w:name w:val="HTML Cite"/>
    <w:basedOn w:val="DefaultParagraphFont"/>
    <w:uiPriority w:val="99"/>
    <w:unhideWhenUsed/>
    <w:rsid w:val="003E080C"/>
    <w:rPr>
      <w:i/>
      <w:iCs/>
    </w:rPr>
  </w:style>
  <w:style w:type="character" w:customStyle="1" w:styleId="author">
    <w:name w:val="author"/>
    <w:basedOn w:val="DefaultParagraphFont"/>
    <w:rsid w:val="003E080C"/>
  </w:style>
  <w:style w:type="character" w:customStyle="1" w:styleId="articletitle">
    <w:name w:val="articletitle"/>
    <w:basedOn w:val="DefaultParagraphFont"/>
    <w:rsid w:val="003E080C"/>
  </w:style>
  <w:style w:type="character" w:customStyle="1" w:styleId="journaltitle">
    <w:name w:val="journaltitle"/>
    <w:basedOn w:val="DefaultParagraphFont"/>
    <w:rsid w:val="003E080C"/>
  </w:style>
  <w:style w:type="character" w:customStyle="1" w:styleId="pubyear">
    <w:name w:val="pubyear"/>
    <w:basedOn w:val="DefaultParagraphFont"/>
    <w:rsid w:val="003E080C"/>
  </w:style>
  <w:style w:type="character" w:customStyle="1" w:styleId="vol">
    <w:name w:val="vol"/>
    <w:basedOn w:val="DefaultParagraphFont"/>
    <w:rsid w:val="003E080C"/>
  </w:style>
  <w:style w:type="character" w:customStyle="1" w:styleId="pagefirst">
    <w:name w:val="pagefirst"/>
    <w:basedOn w:val="DefaultParagraphFont"/>
    <w:rsid w:val="003E080C"/>
  </w:style>
  <w:style w:type="character" w:customStyle="1" w:styleId="pagelast">
    <w:name w:val="pagelast"/>
    <w:basedOn w:val="DefaultParagraphFont"/>
    <w:rsid w:val="003E080C"/>
  </w:style>
  <w:style w:type="character" w:styleId="CommentReference">
    <w:name w:val="annotation reference"/>
    <w:basedOn w:val="DefaultParagraphFont"/>
    <w:rsid w:val="00EF43AD"/>
    <w:rPr>
      <w:sz w:val="16"/>
      <w:szCs w:val="16"/>
    </w:rPr>
  </w:style>
  <w:style w:type="paragraph" w:styleId="CommentText">
    <w:name w:val="annotation text"/>
    <w:basedOn w:val="Normal"/>
    <w:link w:val="CommentTextChar"/>
    <w:rsid w:val="00EF43AD"/>
    <w:rPr>
      <w:sz w:val="20"/>
      <w:szCs w:val="20"/>
    </w:rPr>
  </w:style>
  <w:style w:type="character" w:customStyle="1" w:styleId="CommentTextChar">
    <w:name w:val="Comment Text Char"/>
    <w:basedOn w:val="DefaultParagraphFont"/>
    <w:link w:val="CommentText"/>
    <w:rsid w:val="00EF43AD"/>
  </w:style>
  <w:style w:type="paragraph" w:styleId="CommentSubject">
    <w:name w:val="annotation subject"/>
    <w:basedOn w:val="CommentText"/>
    <w:next w:val="CommentText"/>
    <w:link w:val="CommentSubjectChar"/>
    <w:rsid w:val="00EF43AD"/>
    <w:rPr>
      <w:b/>
      <w:bCs/>
    </w:rPr>
  </w:style>
  <w:style w:type="character" w:customStyle="1" w:styleId="CommentSubjectChar">
    <w:name w:val="Comment Subject Char"/>
    <w:basedOn w:val="CommentTextChar"/>
    <w:link w:val="CommentSubject"/>
    <w:rsid w:val="00EF4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199391">
      <w:bodyDiv w:val="1"/>
      <w:marLeft w:val="0"/>
      <w:marRight w:val="0"/>
      <w:marTop w:val="0"/>
      <w:marBottom w:val="0"/>
      <w:divBdr>
        <w:top w:val="none" w:sz="0" w:space="0" w:color="auto"/>
        <w:left w:val="none" w:sz="0" w:space="0" w:color="auto"/>
        <w:bottom w:val="none" w:sz="0" w:space="0" w:color="auto"/>
        <w:right w:val="none" w:sz="0" w:space="0" w:color="auto"/>
      </w:divBdr>
    </w:div>
    <w:div w:id="1539856890">
      <w:bodyDiv w:val="1"/>
      <w:marLeft w:val="0"/>
      <w:marRight w:val="0"/>
      <w:marTop w:val="0"/>
      <w:marBottom w:val="0"/>
      <w:divBdr>
        <w:top w:val="none" w:sz="0" w:space="0" w:color="auto"/>
        <w:left w:val="none" w:sz="0" w:space="0" w:color="auto"/>
        <w:bottom w:val="none" w:sz="0" w:space="0" w:color="auto"/>
        <w:right w:val="none" w:sz="0" w:space="0" w:color="auto"/>
      </w:divBdr>
    </w:div>
    <w:div w:id="16454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 Toney</dc:creator>
  <cp:keywords/>
  <dc:description/>
  <cp:lastModifiedBy>Richard Milam</cp:lastModifiedBy>
  <cp:revision>2</cp:revision>
  <cp:lastPrinted>2017-05-31T13:16:00Z</cp:lastPrinted>
  <dcterms:created xsi:type="dcterms:W3CDTF">2018-06-01T18:57:00Z</dcterms:created>
  <dcterms:modified xsi:type="dcterms:W3CDTF">2018-06-01T18:57:00Z</dcterms:modified>
</cp:coreProperties>
</file>